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43" w:rsidRPr="00F7748E" w:rsidRDefault="00392243" w:rsidP="00392243">
      <w:pPr>
        <w:spacing w:after="0" w:line="240" w:lineRule="auto"/>
        <w:jc w:val="center"/>
        <w:rPr>
          <w:b/>
          <w:sz w:val="24"/>
        </w:rPr>
      </w:pPr>
      <w:r w:rsidRPr="00F7748E">
        <w:rPr>
          <w:b/>
          <w:sz w:val="24"/>
        </w:rPr>
        <w:t>PRIMARY HEALTHCARE LEVEL ESSENTIAL MEDICINES LIST</w:t>
      </w:r>
    </w:p>
    <w:p w:rsidR="00392243" w:rsidRPr="00F7748E" w:rsidRDefault="00392243" w:rsidP="00392243">
      <w:pPr>
        <w:spacing w:after="0" w:line="240" w:lineRule="auto"/>
        <w:jc w:val="center"/>
        <w:rPr>
          <w:rFonts w:cstheme="minorHAnsi"/>
          <w:b/>
          <w:bCs/>
          <w:color w:val="000000"/>
          <w:sz w:val="24"/>
        </w:rPr>
      </w:pPr>
      <w:r w:rsidRPr="00F7748E">
        <w:rPr>
          <w:b/>
          <w:sz w:val="24"/>
        </w:rPr>
        <w:t>CHAPTER 12: SEXUALLY TRANSMITTED INFECTIONS</w:t>
      </w:r>
    </w:p>
    <w:p w:rsidR="00392243" w:rsidRPr="00F7748E" w:rsidRDefault="00A15E59" w:rsidP="00392243">
      <w:pPr>
        <w:pBdr>
          <w:bottom w:val="double" w:sz="4" w:space="1" w:color="auto"/>
        </w:pBdr>
        <w:spacing w:after="0" w:line="240" w:lineRule="auto"/>
        <w:jc w:val="center"/>
        <w:rPr>
          <w:rFonts w:cs="Arial"/>
          <w:b/>
          <w:sz w:val="24"/>
        </w:rPr>
      </w:pPr>
      <w:r>
        <w:rPr>
          <w:rFonts w:cs="Arial"/>
          <w:b/>
          <w:sz w:val="24"/>
        </w:rPr>
        <w:t xml:space="preserve">RECCOMMENDATIONS FROM THE </w:t>
      </w:r>
      <w:r w:rsidR="00392243" w:rsidRPr="00F7748E">
        <w:rPr>
          <w:rFonts w:cs="Arial"/>
          <w:b/>
          <w:sz w:val="24"/>
        </w:rPr>
        <w:t xml:space="preserve">NEMLC MEETING: </w:t>
      </w:r>
      <w:r w:rsidR="00F7748E" w:rsidRPr="00F7748E">
        <w:rPr>
          <w:rFonts w:cs="Arial"/>
          <w:b/>
          <w:sz w:val="24"/>
        </w:rPr>
        <w:t xml:space="preserve">2 NOVEMBER </w:t>
      </w:r>
      <w:r w:rsidR="00392243" w:rsidRPr="00F7748E">
        <w:rPr>
          <w:rFonts w:cs="Arial"/>
          <w:b/>
          <w:sz w:val="24"/>
        </w:rPr>
        <w:t>2017</w:t>
      </w:r>
    </w:p>
    <w:p w:rsidR="00392243" w:rsidRPr="00F7748E" w:rsidRDefault="00392243" w:rsidP="00392243">
      <w:pPr>
        <w:spacing w:after="0" w:line="240" w:lineRule="auto"/>
        <w:jc w:val="both"/>
        <w:rPr>
          <w:rFonts w:cstheme="minorHAnsi"/>
          <w:b/>
          <w:sz w:val="12"/>
          <w:szCs w:val="10"/>
        </w:rPr>
      </w:pPr>
    </w:p>
    <w:p w:rsidR="00392243" w:rsidRPr="00F7748E" w:rsidRDefault="00392243" w:rsidP="00392243">
      <w:pPr>
        <w:spacing w:after="0" w:line="240" w:lineRule="auto"/>
        <w:jc w:val="both"/>
        <w:rPr>
          <w:rFonts w:cstheme="minorHAnsi"/>
          <w:b/>
          <w:sz w:val="24"/>
          <w:lang w:eastAsia="ar-SA"/>
        </w:rPr>
      </w:pPr>
      <w:r w:rsidRPr="00F7748E">
        <w:rPr>
          <w:rFonts w:cstheme="minorHAnsi"/>
          <w:b/>
          <w:sz w:val="24"/>
          <w:lang w:eastAsia="ar-SA"/>
        </w:rPr>
        <w:t>Medicine amendment recommendations, following initial review of the chapter, are listed below.</w:t>
      </w:r>
      <w:r w:rsidR="00A15E59">
        <w:rPr>
          <w:rFonts w:cstheme="minorHAnsi"/>
          <w:b/>
          <w:sz w:val="24"/>
          <w:lang w:eastAsia="ar-SA"/>
        </w:rPr>
        <w:t xml:space="preserve"> </w:t>
      </w:r>
      <w:r w:rsidRPr="00F7748E">
        <w:rPr>
          <w:rFonts w:cstheme="minorHAnsi"/>
          <w:b/>
          <w:sz w:val="24"/>
          <w:lang w:eastAsia="ar-SA"/>
        </w:rPr>
        <w:t xml:space="preserve">Kindly review the medicine amendments in the context of the chapter. </w:t>
      </w:r>
    </w:p>
    <w:p w:rsidR="00392243" w:rsidRPr="00F7748E" w:rsidRDefault="00392243" w:rsidP="00392243">
      <w:pPr>
        <w:spacing w:after="0" w:line="240" w:lineRule="auto"/>
        <w:jc w:val="both"/>
        <w:rPr>
          <w:rFonts w:cstheme="minorHAnsi"/>
          <w:sz w:val="24"/>
          <w:lang w:eastAsia="ar-SA"/>
        </w:rPr>
      </w:pPr>
    </w:p>
    <w:p w:rsidR="00392243" w:rsidRPr="00F7748E" w:rsidRDefault="00392243" w:rsidP="00392243">
      <w:pPr>
        <w:spacing w:after="0" w:line="240" w:lineRule="auto"/>
        <w:jc w:val="both"/>
        <w:rPr>
          <w:rFonts w:cstheme="minorHAnsi"/>
          <w:b/>
          <w:sz w:val="24"/>
          <w:szCs w:val="10"/>
        </w:rPr>
      </w:pPr>
      <w:r w:rsidRPr="00F7748E">
        <w:rPr>
          <w:rFonts w:cstheme="minorHAnsi"/>
          <w:b/>
          <w:sz w:val="24"/>
          <w:szCs w:val="10"/>
        </w:rPr>
        <w:t>AMENDMENTS:</w:t>
      </w:r>
    </w:p>
    <w:tbl>
      <w:tblPr>
        <w:tblStyle w:val="TableGrid"/>
        <w:tblW w:w="5000" w:type="pct"/>
        <w:tblLook w:val="04A0"/>
      </w:tblPr>
      <w:tblGrid>
        <w:gridCol w:w="3085"/>
        <w:gridCol w:w="3403"/>
        <w:gridCol w:w="2754"/>
      </w:tblGrid>
      <w:tr w:rsidR="00392243" w:rsidRPr="00AB3ADA" w:rsidTr="009C6600">
        <w:tc>
          <w:tcPr>
            <w:tcW w:w="1669" w:type="pct"/>
            <w:shd w:val="clear" w:color="auto" w:fill="DDD9C3" w:themeFill="background2" w:themeFillShade="E6"/>
          </w:tcPr>
          <w:p w:rsidR="00392243" w:rsidRPr="00AB3ADA" w:rsidRDefault="00392243" w:rsidP="00392243">
            <w:pPr>
              <w:jc w:val="both"/>
              <w:rPr>
                <w:rFonts w:asciiTheme="minorHAnsi" w:hAnsiTheme="minorHAnsi" w:cstheme="minorHAnsi"/>
                <w:b/>
              </w:rPr>
            </w:pPr>
            <w:r w:rsidRPr="00AB3ADA">
              <w:rPr>
                <w:rFonts w:asciiTheme="minorHAnsi" w:hAnsiTheme="minorHAnsi" w:cstheme="minorHAnsi"/>
                <w:b/>
              </w:rPr>
              <w:t>SECTION</w:t>
            </w:r>
          </w:p>
        </w:tc>
        <w:tc>
          <w:tcPr>
            <w:tcW w:w="1841" w:type="pct"/>
            <w:shd w:val="clear" w:color="auto" w:fill="DDD9C3" w:themeFill="background2" w:themeFillShade="E6"/>
          </w:tcPr>
          <w:p w:rsidR="00392243" w:rsidRPr="00AB3ADA" w:rsidRDefault="00392243" w:rsidP="00392243">
            <w:pPr>
              <w:jc w:val="both"/>
              <w:rPr>
                <w:rFonts w:asciiTheme="minorHAnsi" w:hAnsiTheme="minorHAnsi" w:cstheme="minorHAnsi"/>
                <w:b/>
              </w:rPr>
            </w:pPr>
            <w:r w:rsidRPr="00AB3ADA">
              <w:rPr>
                <w:rFonts w:asciiTheme="minorHAnsi" w:hAnsiTheme="minorHAnsi" w:cstheme="minorHAnsi"/>
                <w:b/>
              </w:rPr>
              <w:t>MEDICINE</w:t>
            </w:r>
            <w:r w:rsidR="00276AF0" w:rsidRPr="00AB3ADA">
              <w:rPr>
                <w:rFonts w:asciiTheme="minorHAnsi" w:hAnsiTheme="minorHAnsi" w:cstheme="minorHAnsi"/>
                <w:b/>
              </w:rPr>
              <w:t>/MANAEGEMENT</w:t>
            </w:r>
          </w:p>
        </w:tc>
        <w:tc>
          <w:tcPr>
            <w:tcW w:w="1490" w:type="pct"/>
            <w:shd w:val="clear" w:color="auto" w:fill="DDD9C3" w:themeFill="background2" w:themeFillShade="E6"/>
          </w:tcPr>
          <w:p w:rsidR="00392243" w:rsidRPr="00AB3ADA" w:rsidRDefault="00392243" w:rsidP="00392243">
            <w:pPr>
              <w:jc w:val="both"/>
              <w:rPr>
                <w:rFonts w:asciiTheme="minorHAnsi" w:hAnsiTheme="minorHAnsi" w:cstheme="minorHAnsi"/>
                <w:b/>
              </w:rPr>
            </w:pPr>
            <w:r w:rsidRPr="00AB3ADA">
              <w:rPr>
                <w:rFonts w:asciiTheme="minorHAnsi" w:hAnsiTheme="minorHAnsi" w:cstheme="minorHAnsi"/>
                <w:b/>
              </w:rPr>
              <w:t>ADDED/DELETED/AMENDED</w:t>
            </w:r>
          </w:p>
        </w:tc>
      </w:tr>
      <w:tr w:rsidR="001C72F1" w:rsidRPr="00AB3ADA" w:rsidTr="009C6600">
        <w:tc>
          <w:tcPr>
            <w:tcW w:w="1669" w:type="pct"/>
            <w:vMerge w:val="restart"/>
          </w:tcPr>
          <w:p w:rsidR="001C72F1" w:rsidRPr="00AB3ADA" w:rsidRDefault="001C72F1" w:rsidP="00392243">
            <w:pPr>
              <w:rPr>
                <w:rFonts w:asciiTheme="minorHAnsi" w:hAnsiTheme="minorHAnsi" w:cstheme="minorHAnsi"/>
                <w:b/>
                <w:spacing w:val="-4"/>
              </w:rPr>
            </w:pPr>
            <w:r w:rsidRPr="00AB3ADA">
              <w:rPr>
                <w:rFonts w:asciiTheme="minorHAnsi" w:hAnsiTheme="minorHAnsi" w:cstheme="minorHAnsi"/>
                <w:b/>
                <w:spacing w:val="-4"/>
              </w:rPr>
              <w:t>Treatment of partners</w:t>
            </w:r>
          </w:p>
          <w:p w:rsidR="001C72F1" w:rsidRPr="00AB3ADA" w:rsidRDefault="001C72F1" w:rsidP="00392243">
            <w:pPr>
              <w:rPr>
                <w:rFonts w:asciiTheme="minorHAnsi" w:hAnsiTheme="minorHAnsi" w:cstheme="minorHAnsi"/>
                <w:b/>
                <w:spacing w:val="-4"/>
              </w:rPr>
            </w:pPr>
          </w:p>
        </w:tc>
        <w:tc>
          <w:tcPr>
            <w:tcW w:w="1841" w:type="pct"/>
          </w:tcPr>
          <w:p w:rsidR="001C72F1" w:rsidRPr="00AB3ADA" w:rsidRDefault="001C72F1" w:rsidP="00392243">
            <w:pPr>
              <w:pStyle w:val="CommentText"/>
              <w:widowControl w:val="0"/>
              <w:tabs>
                <w:tab w:val="left" w:pos="567"/>
              </w:tabs>
              <w:rPr>
                <w:rFonts w:asciiTheme="minorHAnsi" w:hAnsiTheme="minorHAnsi" w:cstheme="minorHAnsi"/>
              </w:rPr>
            </w:pPr>
            <w:r w:rsidRPr="00AB3ADA">
              <w:rPr>
                <w:rFonts w:asciiTheme="minorHAnsi" w:hAnsiTheme="minorHAnsi" w:cstheme="minorHAnsi"/>
              </w:rPr>
              <w:t>Ceftriaxone, 250 mg, IM</w:t>
            </w:r>
          </w:p>
        </w:tc>
        <w:tc>
          <w:tcPr>
            <w:tcW w:w="1490" w:type="pct"/>
          </w:tcPr>
          <w:p w:rsidR="001C72F1" w:rsidRPr="00AB3ADA" w:rsidRDefault="001C72F1" w:rsidP="00392243">
            <w:pPr>
              <w:jc w:val="both"/>
              <w:rPr>
                <w:rFonts w:asciiTheme="minorHAnsi" w:hAnsiTheme="minorHAnsi" w:cstheme="minorHAnsi"/>
                <w:spacing w:val="-4"/>
              </w:rPr>
            </w:pPr>
            <w:r w:rsidRPr="00AB3ADA">
              <w:rPr>
                <w:rFonts w:asciiTheme="minorHAnsi" w:hAnsiTheme="minorHAnsi" w:cstheme="minorHAnsi"/>
                <w:spacing w:val="-4"/>
                <w:lang w:val="en-GB"/>
              </w:rPr>
              <w:t>Added</w:t>
            </w:r>
          </w:p>
        </w:tc>
      </w:tr>
      <w:tr w:rsidR="001C72F1" w:rsidRPr="00AB3ADA" w:rsidTr="009C6600">
        <w:tc>
          <w:tcPr>
            <w:tcW w:w="1669" w:type="pct"/>
            <w:vMerge/>
          </w:tcPr>
          <w:p w:rsidR="001C72F1" w:rsidRPr="00AB3ADA" w:rsidRDefault="001C72F1" w:rsidP="00392243">
            <w:pPr>
              <w:rPr>
                <w:rFonts w:asciiTheme="minorHAnsi" w:hAnsiTheme="minorHAnsi" w:cstheme="minorHAnsi"/>
                <w:b/>
                <w:spacing w:val="-4"/>
              </w:rPr>
            </w:pPr>
          </w:p>
        </w:tc>
        <w:tc>
          <w:tcPr>
            <w:tcW w:w="1841" w:type="pct"/>
          </w:tcPr>
          <w:p w:rsidR="001C72F1" w:rsidRPr="00AB3ADA" w:rsidRDefault="001C72F1" w:rsidP="00392243">
            <w:pPr>
              <w:pStyle w:val="CommentText"/>
              <w:widowControl w:val="0"/>
              <w:tabs>
                <w:tab w:val="left" w:pos="567"/>
              </w:tabs>
              <w:rPr>
                <w:rFonts w:asciiTheme="minorHAnsi" w:hAnsiTheme="minorHAnsi" w:cstheme="minorHAnsi"/>
              </w:rPr>
            </w:pPr>
            <w:r w:rsidRPr="00AB3ADA">
              <w:rPr>
                <w:rFonts w:asciiTheme="minorHAnsi" w:hAnsiTheme="minorHAnsi" w:cstheme="minorHAnsi"/>
              </w:rPr>
              <w:t>Azithromycin, 1 g, oral</w:t>
            </w:r>
          </w:p>
        </w:tc>
        <w:tc>
          <w:tcPr>
            <w:tcW w:w="1490" w:type="pct"/>
          </w:tcPr>
          <w:p w:rsidR="001C72F1" w:rsidRPr="00AB3ADA" w:rsidRDefault="001C72F1" w:rsidP="00392243">
            <w:pPr>
              <w:jc w:val="both"/>
              <w:rPr>
                <w:rFonts w:asciiTheme="minorHAnsi" w:hAnsiTheme="minorHAnsi" w:cstheme="minorHAnsi"/>
                <w:spacing w:val="-4"/>
              </w:rPr>
            </w:pPr>
            <w:r w:rsidRPr="00AB3ADA">
              <w:rPr>
                <w:rFonts w:asciiTheme="minorHAnsi" w:hAnsiTheme="minorHAnsi" w:cstheme="minorHAnsi"/>
                <w:color w:val="000000"/>
                <w:lang w:val="en-GB"/>
              </w:rPr>
              <w:t>Added</w:t>
            </w:r>
          </w:p>
        </w:tc>
      </w:tr>
      <w:tr w:rsidR="001C72F1" w:rsidRPr="00AB3ADA" w:rsidTr="009C6600">
        <w:trPr>
          <w:trHeight w:val="131"/>
        </w:trPr>
        <w:tc>
          <w:tcPr>
            <w:tcW w:w="1669" w:type="pct"/>
            <w:vMerge/>
          </w:tcPr>
          <w:p w:rsidR="001C72F1" w:rsidRPr="00AB3ADA" w:rsidRDefault="001C72F1" w:rsidP="00392243">
            <w:pPr>
              <w:rPr>
                <w:rFonts w:asciiTheme="minorHAnsi" w:hAnsiTheme="minorHAnsi" w:cstheme="minorHAnsi"/>
                <w:b/>
                <w:spacing w:val="-4"/>
              </w:rPr>
            </w:pPr>
          </w:p>
        </w:tc>
        <w:tc>
          <w:tcPr>
            <w:tcW w:w="1841" w:type="pct"/>
          </w:tcPr>
          <w:p w:rsidR="001C72F1" w:rsidRPr="00AB3ADA" w:rsidRDefault="001C72F1" w:rsidP="00392243">
            <w:pPr>
              <w:pStyle w:val="CommentText"/>
              <w:widowControl w:val="0"/>
              <w:tabs>
                <w:tab w:val="left" w:pos="567"/>
              </w:tabs>
              <w:rPr>
                <w:rFonts w:asciiTheme="minorHAnsi" w:hAnsiTheme="minorHAnsi" w:cstheme="minorHAnsi"/>
              </w:rPr>
            </w:pPr>
            <w:r w:rsidRPr="00AB3ADA">
              <w:rPr>
                <w:rFonts w:asciiTheme="minorHAnsi" w:hAnsiTheme="minorHAnsi" w:cstheme="minorHAnsi"/>
              </w:rPr>
              <w:t>Metronidazole, 2g, oral</w:t>
            </w:r>
          </w:p>
        </w:tc>
        <w:tc>
          <w:tcPr>
            <w:tcW w:w="1490" w:type="pct"/>
          </w:tcPr>
          <w:p w:rsidR="001C72F1" w:rsidRPr="00AB3ADA" w:rsidRDefault="001C72F1" w:rsidP="00392243">
            <w:pPr>
              <w:jc w:val="both"/>
              <w:rPr>
                <w:rFonts w:asciiTheme="minorHAnsi" w:hAnsiTheme="minorHAnsi" w:cstheme="minorHAnsi"/>
                <w:spacing w:val="-4"/>
              </w:rPr>
            </w:pPr>
            <w:r w:rsidRPr="00AB3ADA">
              <w:rPr>
                <w:rFonts w:asciiTheme="minorHAnsi" w:hAnsiTheme="minorHAnsi" w:cstheme="minorHAnsi"/>
                <w:spacing w:val="-4"/>
              </w:rPr>
              <w:t>Added</w:t>
            </w:r>
          </w:p>
        </w:tc>
      </w:tr>
      <w:tr w:rsidR="00DE3F6A" w:rsidRPr="00AB3ADA" w:rsidTr="009C6600">
        <w:tc>
          <w:tcPr>
            <w:tcW w:w="1669" w:type="pct"/>
            <w:vMerge/>
          </w:tcPr>
          <w:p w:rsidR="00DE3F6A" w:rsidRPr="00AB3ADA" w:rsidRDefault="00DE3F6A" w:rsidP="001C72F1">
            <w:pPr>
              <w:rPr>
                <w:rFonts w:asciiTheme="minorHAnsi" w:hAnsiTheme="minorHAnsi" w:cstheme="minorHAnsi"/>
                <w:b/>
                <w:spacing w:val="-4"/>
              </w:rPr>
            </w:pPr>
          </w:p>
        </w:tc>
        <w:tc>
          <w:tcPr>
            <w:tcW w:w="1841" w:type="pct"/>
          </w:tcPr>
          <w:p w:rsidR="00DE3F6A" w:rsidRPr="00AB3ADA" w:rsidRDefault="00DE3F6A" w:rsidP="00392243">
            <w:pPr>
              <w:pStyle w:val="CommentText"/>
              <w:widowControl w:val="0"/>
              <w:tabs>
                <w:tab w:val="left" w:pos="567"/>
              </w:tabs>
              <w:rPr>
                <w:rFonts w:asciiTheme="minorHAnsi" w:hAnsiTheme="minorHAnsi" w:cstheme="minorHAnsi"/>
              </w:rPr>
            </w:pPr>
            <w:r w:rsidRPr="00AB3ADA">
              <w:rPr>
                <w:rFonts w:asciiTheme="minorHAnsi" w:hAnsiTheme="minorHAnsi" w:cstheme="minorHAnsi"/>
              </w:rPr>
              <w:t>Doxycyline, oral</w:t>
            </w:r>
          </w:p>
        </w:tc>
        <w:tc>
          <w:tcPr>
            <w:tcW w:w="1490" w:type="pct"/>
          </w:tcPr>
          <w:p w:rsidR="00DE3F6A" w:rsidRPr="00AB3ADA" w:rsidRDefault="00DE3F6A" w:rsidP="00392243">
            <w:pPr>
              <w:jc w:val="both"/>
              <w:rPr>
                <w:rFonts w:asciiTheme="minorHAnsi" w:hAnsiTheme="minorHAnsi" w:cstheme="minorHAnsi"/>
                <w:spacing w:val="-4"/>
              </w:rPr>
            </w:pPr>
            <w:r w:rsidRPr="00AB3ADA">
              <w:rPr>
                <w:rFonts w:asciiTheme="minorHAnsi" w:hAnsiTheme="minorHAnsi" w:cstheme="minorHAnsi"/>
                <w:spacing w:val="-4"/>
              </w:rPr>
              <w:t>Added</w:t>
            </w:r>
          </w:p>
        </w:tc>
      </w:tr>
      <w:tr w:rsidR="001C72F1" w:rsidRPr="00AB3ADA" w:rsidTr="009C6600">
        <w:tc>
          <w:tcPr>
            <w:tcW w:w="1669" w:type="pct"/>
            <w:vMerge/>
          </w:tcPr>
          <w:p w:rsidR="001C72F1" w:rsidRPr="00AB3ADA" w:rsidRDefault="001C72F1" w:rsidP="001C72F1">
            <w:pPr>
              <w:rPr>
                <w:rFonts w:asciiTheme="minorHAnsi" w:hAnsiTheme="minorHAnsi" w:cstheme="minorHAnsi"/>
                <w:b/>
                <w:spacing w:val="-4"/>
              </w:rPr>
            </w:pPr>
          </w:p>
        </w:tc>
        <w:tc>
          <w:tcPr>
            <w:tcW w:w="1841" w:type="pct"/>
          </w:tcPr>
          <w:p w:rsidR="001C72F1" w:rsidRPr="00AB3ADA" w:rsidRDefault="001C72F1" w:rsidP="00392243">
            <w:pPr>
              <w:pStyle w:val="CommentText"/>
              <w:widowControl w:val="0"/>
              <w:tabs>
                <w:tab w:val="left" w:pos="567"/>
              </w:tabs>
              <w:rPr>
                <w:rFonts w:asciiTheme="minorHAnsi" w:hAnsiTheme="minorHAnsi" w:cstheme="minorHAnsi"/>
              </w:rPr>
            </w:pPr>
            <w:r w:rsidRPr="00AB3ADA">
              <w:rPr>
                <w:rFonts w:asciiTheme="minorHAnsi" w:hAnsiTheme="minorHAnsi" w:cstheme="minorHAnsi"/>
              </w:rPr>
              <w:t>Benzathine benzylpenicillin, IM 2.4MU</w:t>
            </w:r>
          </w:p>
        </w:tc>
        <w:tc>
          <w:tcPr>
            <w:tcW w:w="1490" w:type="pct"/>
          </w:tcPr>
          <w:p w:rsidR="001C72F1" w:rsidRPr="00AB3ADA" w:rsidRDefault="001C72F1" w:rsidP="00392243">
            <w:pPr>
              <w:jc w:val="both"/>
              <w:rPr>
                <w:rFonts w:asciiTheme="minorHAnsi" w:hAnsiTheme="minorHAnsi" w:cstheme="minorHAnsi"/>
                <w:spacing w:val="-4"/>
              </w:rPr>
            </w:pPr>
            <w:r w:rsidRPr="00AB3ADA">
              <w:rPr>
                <w:rFonts w:asciiTheme="minorHAnsi" w:hAnsiTheme="minorHAnsi" w:cstheme="minorHAnsi"/>
                <w:spacing w:val="-4"/>
              </w:rPr>
              <w:t>Added</w:t>
            </w:r>
          </w:p>
        </w:tc>
      </w:tr>
      <w:tr w:rsidR="001C72F1" w:rsidRPr="00AB3ADA" w:rsidTr="009C6600">
        <w:tc>
          <w:tcPr>
            <w:tcW w:w="1669" w:type="pct"/>
            <w:vMerge/>
          </w:tcPr>
          <w:p w:rsidR="001C72F1" w:rsidRPr="00AB3ADA" w:rsidRDefault="001C72F1" w:rsidP="00392243">
            <w:pPr>
              <w:autoSpaceDE w:val="0"/>
              <w:autoSpaceDN w:val="0"/>
              <w:adjustRightInd w:val="0"/>
              <w:jc w:val="both"/>
              <w:rPr>
                <w:rFonts w:asciiTheme="minorHAnsi" w:hAnsiTheme="minorHAnsi" w:cstheme="minorHAnsi"/>
                <w:b/>
                <w:bCs/>
                <w:color w:val="000000"/>
                <w:lang w:val="en-GB"/>
              </w:rPr>
            </w:pPr>
          </w:p>
        </w:tc>
        <w:tc>
          <w:tcPr>
            <w:tcW w:w="1841" w:type="pct"/>
          </w:tcPr>
          <w:p w:rsidR="001C72F1" w:rsidRPr="00AB3ADA" w:rsidRDefault="001C72F1" w:rsidP="00392243">
            <w:pPr>
              <w:pStyle w:val="CommentText"/>
              <w:widowControl w:val="0"/>
              <w:tabs>
                <w:tab w:val="left" w:pos="567"/>
              </w:tabs>
              <w:rPr>
                <w:rFonts w:asciiTheme="minorHAnsi" w:hAnsiTheme="minorHAnsi" w:cstheme="minorHAnsi"/>
              </w:rPr>
            </w:pPr>
            <w:r w:rsidRPr="00AB3ADA">
              <w:rPr>
                <w:rFonts w:asciiTheme="minorHAnsi" w:hAnsiTheme="minorHAnsi" w:cstheme="minorHAnsi"/>
              </w:rPr>
              <w:t>Lidocaine 1% without epinephrine (adrenaline)</w:t>
            </w:r>
          </w:p>
        </w:tc>
        <w:tc>
          <w:tcPr>
            <w:tcW w:w="1490" w:type="pct"/>
          </w:tcPr>
          <w:p w:rsidR="001C72F1" w:rsidRPr="00AB3ADA" w:rsidRDefault="001C72F1" w:rsidP="00392243">
            <w:pPr>
              <w:jc w:val="both"/>
              <w:rPr>
                <w:rFonts w:asciiTheme="minorHAnsi" w:hAnsiTheme="minorHAnsi" w:cstheme="minorHAnsi"/>
                <w:spacing w:val="-4"/>
              </w:rPr>
            </w:pPr>
            <w:r w:rsidRPr="00AB3ADA">
              <w:rPr>
                <w:rFonts w:asciiTheme="minorHAnsi" w:hAnsiTheme="minorHAnsi" w:cstheme="minorHAnsi"/>
                <w:bCs/>
                <w:color w:val="000000"/>
                <w:lang w:val="en-GB"/>
              </w:rPr>
              <w:t>Added</w:t>
            </w:r>
          </w:p>
        </w:tc>
      </w:tr>
      <w:tr w:rsidR="00276AF0" w:rsidRPr="00AB3ADA" w:rsidTr="009C6600">
        <w:tc>
          <w:tcPr>
            <w:tcW w:w="1669" w:type="pct"/>
            <w:vMerge w:val="restart"/>
          </w:tcPr>
          <w:p w:rsidR="00276AF0" w:rsidRPr="00AB3ADA" w:rsidRDefault="00276AF0" w:rsidP="00392243">
            <w:pPr>
              <w:autoSpaceDE w:val="0"/>
              <w:autoSpaceDN w:val="0"/>
              <w:adjustRightInd w:val="0"/>
              <w:jc w:val="both"/>
              <w:rPr>
                <w:rFonts w:asciiTheme="minorHAnsi" w:hAnsiTheme="minorHAnsi" w:cstheme="minorHAnsi"/>
                <w:b/>
                <w:spacing w:val="-4"/>
              </w:rPr>
            </w:pPr>
            <w:r w:rsidRPr="00AB3ADA">
              <w:rPr>
                <w:rFonts w:asciiTheme="minorHAnsi" w:hAnsiTheme="minorHAnsi" w:cstheme="minorHAnsi"/>
                <w:b/>
              </w:rPr>
              <w:t>12.1</w:t>
            </w:r>
            <w:r w:rsidRPr="00AB3ADA">
              <w:rPr>
                <w:rFonts w:asciiTheme="minorHAnsi" w:hAnsiTheme="minorHAnsi" w:cstheme="minorHAnsi"/>
                <w:b/>
              </w:rPr>
              <w:tab/>
              <w:t>Vaginal discharge syndrome (VDS)</w:t>
            </w:r>
          </w:p>
        </w:tc>
        <w:tc>
          <w:tcPr>
            <w:tcW w:w="1841" w:type="pct"/>
          </w:tcPr>
          <w:p w:rsidR="00276AF0" w:rsidRPr="00AB3ADA" w:rsidRDefault="00276AF0" w:rsidP="00276AF0">
            <w:pPr>
              <w:jc w:val="both"/>
              <w:rPr>
                <w:rFonts w:asciiTheme="minorHAnsi" w:hAnsiTheme="minorHAnsi" w:cstheme="minorHAnsi"/>
              </w:rPr>
            </w:pPr>
            <w:r w:rsidRPr="00AB3ADA">
              <w:rPr>
                <w:rFonts w:asciiTheme="minorHAnsi" w:hAnsiTheme="minorHAnsi" w:cstheme="minorHAnsi"/>
              </w:rPr>
              <w:t>Age cut-off criterion</w:t>
            </w:r>
          </w:p>
        </w:tc>
        <w:tc>
          <w:tcPr>
            <w:tcW w:w="1490" w:type="pct"/>
          </w:tcPr>
          <w:p w:rsidR="00276AF0" w:rsidRPr="00AB3ADA" w:rsidRDefault="00276AF0" w:rsidP="00392243">
            <w:pPr>
              <w:jc w:val="both"/>
              <w:rPr>
                <w:rFonts w:asciiTheme="minorHAnsi" w:hAnsiTheme="minorHAnsi" w:cstheme="minorHAnsi"/>
                <w:spacing w:val="-4"/>
              </w:rPr>
            </w:pPr>
            <w:r w:rsidRPr="00AB3ADA">
              <w:rPr>
                <w:rFonts w:asciiTheme="minorHAnsi" w:hAnsiTheme="minorHAnsi" w:cstheme="minorHAnsi"/>
              </w:rPr>
              <w:t>Deleted from VDS algorithm</w:t>
            </w:r>
          </w:p>
        </w:tc>
      </w:tr>
      <w:tr w:rsidR="00276AF0" w:rsidRPr="00AB3ADA" w:rsidTr="009C6600">
        <w:tc>
          <w:tcPr>
            <w:tcW w:w="1669" w:type="pct"/>
            <w:vMerge/>
          </w:tcPr>
          <w:p w:rsidR="00276AF0" w:rsidRPr="00AB3ADA" w:rsidRDefault="00276AF0" w:rsidP="00392243">
            <w:pPr>
              <w:autoSpaceDE w:val="0"/>
              <w:autoSpaceDN w:val="0"/>
              <w:adjustRightInd w:val="0"/>
              <w:jc w:val="both"/>
              <w:rPr>
                <w:rFonts w:asciiTheme="minorHAnsi" w:hAnsiTheme="minorHAnsi" w:cstheme="minorHAnsi"/>
                <w:b/>
              </w:rPr>
            </w:pPr>
          </w:p>
        </w:tc>
        <w:tc>
          <w:tcPr>
            <w:tcW w:w="1841" w:type="pct"/>
          </w:tcPr>
          <w:p w:rsidR="00276AF0" w:rsidRPr="00AB3ADA" w:rsidRDefault="00276AF0" w:rsidP="00276AF0">
            <w:pPr>
              <w:jc w:val="both"/>
              <w:rPr>
                <w:rFonts w:asciiTheme="minorHAnsi" w:hAnsiTheme="minorHAnsi" w:cstheme="minorHAnsi"/>
              </w:rPr>
            </w:pPr>
            <w:r w:rsidRPr="00AB3ADA">
              <w:rPr>
                <w:rFonts w:asciiTheme="minorHAnsi" w:hAnsiTheme="minorHAnsi" w:cstheme="minorHAnsi"/>
              </w:rPr>
              <w:t>Sexual activity criterion</w:t>
            </w:r>
          </w:p>
        </w:tc>
        <w:tc>
          <w:tcPr>
            <w:tcW w:w="1490" w:type="pct"/>
          </w:tcPr>
          <w:p w:rsidR="00276AF0" w:rsidRPr="00AB3ADA" w:rsidRDefault="00276AF0" w:rsidP="00392243">
            <w:pPr>
              <w:jc w:val="both"/>
              <w:rPr>
                <w:rFonts w:asciiTheme="minorHAnsi" w:hAnsiTheme="minorHAnsi" w:cstheme="minorHAnsi"/>
                <w:spacing w:val="-4"/>
              </w:rPr>
            </w:pPr>
            <w:r w:rsidRPr="00AB3ADA">
              <w:rPr>
                <w:rFonts w:asciiTheme="minorHAnsi" w:hAnsiTheme="minorHAnsi" w:cstheme="minorHAnsi"/>
              </w:rPr>
              <w:t>Added to VDS algorithm</w:t>
            </w:r>
          </w:p>
        </w:tc>
      </w:tr>
      <w:tr w:rsidR="00276AF0" w:rsidRPr="00AB3ADA" w:rsidTr="009C6600">
        <w:tc>
          <w:tcPr>
            <w:tcW w:w="1669" w:type="pct"/>
            <w:vMerge/>
          </w:tcPr>
          <w:p w:rsidR="00276AF0" w:rsidRPr="00AB3ADA" w:rsidRDefault="00276AF0" w:rsidP="00392243">
            <w:pPr>
              <w:autoSpaceDE w:val="0"/>
              <w:autoSpaceDN w:val="0"/>
              <w:adjustRightInd w:val="0"/>
              <w:jc w:val="both"/>
              <w:rPr>
                <w:rFonts w:asciiTheme="minorHAnsi" w:hAnsiTheme="minorHAnsi" w:cstheme="minorHAnsi"/>
                <w:b/>
              </w:rPr>
            </w:pPr>
          </w:p>
        </w:tc>
        <w:tc>
          <w:tcPr>
            <w:tcW w:w="1841" w:type="pct"/>
          </w:tcPr>
          <w:p w:rsidR="00276AF0" w:rsidRPr="00AB3ADA" w:rsidRDefault="00276AF0" w:rsidP="00276AF0">
            <w:pPr>
              <w:widowControl w:val="0"/>
              <w:autoSpaceDE w:val="0"/>
              <w:autoSpaceDN w:val="0"/>
              <w:adjustRightInd w:val="0"/>
              <w:jc w:val="both"/>
              <w:rPr>
                <w:rFonts w:asciiTheme="minorHAnsi" w:hAnsiTheme="minorHAnsi" w:cstheme="minorHAnsi"/>
                <w:spacing w:val="-4"/>
              </w:rPr>
            </w:pPr>
            <w:r w:rsidRPr="00AB3ADA">
              <w:rPr>
                <w:rFonts w:asciiTheme="minorHAnsi" w:hAnsiTheme="minorHAnsi" w:cstheme="minorHAnsi"/>
                <w:spacing w:val="-4"/>
              </w:rPr>
              <w:t>Cotrimazole+metronidazole dual therapy</w:t>
            </w:r>
          </w:p>
        </w:tc>
        <w:tc>
          <w:tcPr>
            <w:tcW w:w="1490" w:type="pct"/>
          </w:tcPr>
          <w:p w:rsidR="00276AF0" w:rsidRPr="00AB3ADA" w:rsidRDefault="00276AF0" w:rsidP="00392243">
            <w:pPr>
              <w:jc w:val="both"/>
              <w:rPr>
                <w:rFonts w:asciiTheme="minorHAnsi" w:hAnsiTheme="minorHAnsi" w:cstheme="minorHAnsi"/>
                <w:spacing w:val="-4"/>
              </w:rPr>
            </w:pPr>
            <w:r w:rsidRPr="00AB3ADA">
              <w:rPr>
                <w:rFonts w:asciiTheme="minorHAnsi" w:hAnsiTheme="minorHAnsi" w:cstheme="minorHAnsi"/>
                <w:spacing w:val="-4"/>
              </w:rPr>
              <w:t>Amended to monotherapy directed syndromic management</w:t>
            </w:r>
          </w:p>
        </w:tc>
      </w:tr>
      <w:tr w:rsidR="00276AF0" w:rsidRPr="00AB3ADA" w:rsidTr="009C6600">
        <w:tc>
          <w:tcPr>
            <w:tcW w:w="1669" w:type="pct"/>
            <w:vMerge/>
          </w:tcPr>
          <w:p w:rsidR="00276AF0" w:rsidRPr="00AB3ADA" w:rsidRDefault="00276AF0" w:rsidP="00392243">
            <w:pPr>
              <w:autoSpaceDE w:val="0"/>
              <w:autoSpaceDN w:val="0"/>
              <w:adjustRightInd w:val="0"/>
              <w:jc w:val="both"/>
              <w:rPr>
                <w:rFonts w:asciiTheme="minorHAnsi" w:hAnsiTheme="minorHAnsi" w:cstheme="minorHAnsi"/>
                <w:b/>
              </w:rPr>
            </w:pPr>
          </w:p>
        </w:tc>
        <w:tc>
          <w:tcPr>
            <w:tcW w:w="1841" w:type="pct"/>
          </w:tcPr>
          <w:p w:rsidR="00276AF0" w:rsidRPr="00AB3ADA" w:rsidRDefault="00276AF0" w:rsidP="00276AF0">
            <w:pPr>
              <w:jc w:val="both"/>
              <w:rPr>
                <w:rFonts w:asciiTheme="minorHAnsi" w:hAnsiTheme="minorHAnsi" w:cstheme="minorHAnsi"/>
              </w:rPr>
            </w:pPr>
            <w:r w:rsidRPr="00AB3ADA">
              <w:rPr>
                <w:rFonts w:asciiTheme="minorHAnsi" w:hAnsiTheme="minorHAnsi" w:cstheme="minorHAnsi"/>
              </w:rPr>
              <w:t>Speculum examination</w:t>
            </w:r>
          </w:p>
        </w:tc>
        <w:tc>
          <w:tcPr>
            <w:tcW w:w="1490" w:type="pct"/>
          </w:tcPr>
          <w:p w:rsidR="00276AF0" w:rsidRPr="00AB3ADA" w:rsidRDefault="00276AF0" w:rsidP="00392243">
            <w:pPr>
              <w:jc w:val="both"/>
              <w:rPr>
                <w:rFonts w:asciiTheme="minorHAnsi" w:hAnsiTheme="minorHAnsi" w:cstheme="minorHAnsi"/>
                <w:spacing w:val="-4"/>
              </w:rPr>
            </w:pPr>
            <w:r w:rsidRPr="00AB3ADA">
              <w:rPr>
                <w:rFonts w:asciiTheme="minorHAnsi" w:hAnsiTheme="minorHAnsi" w:cstheme="minorHAnsi"/>
              </w:rPr>
              <w:t>Added to VDS algorithm to differentiate between cervicitis and vaginitis</w:t>
            </w:r>
          </w:p>
        </w:tc>
      </w:tr>
      <w:tr w:rsidR="00276AF0" w:rsidRPr="00AB3ADA" w:rsidTr="009C6600">
        <w:tc>
          <w:tcPr>
            <w:tcW w:w="1669" w:type="pct"/>
            <w:vMerge/>
          </w:tcPr>
          <w:p w:rsidR="00276AF0" w:rsidRPr="00AB3ADA" w:rsidRDefault="00276AF0" w:rsidP="00392243">
            <w:pPr>
              <w:autoSpaceDE w:val="0"/>
              <w:autoSpaceDN w:val="0"/>
              <w:adjustRightInd w:val="0"/>
              <w:jc w:val="both"/>
              <w:rPr>
                <w:rFonts w:asciiTheme="minorHAnsi" w:hAnsiTheme="minorHAnsi" w:cstheme="minorHAnsi"/>
                <w:b/>
              </w:rPr>
            </w:pPr>
          </w:p>
        </w:tc>
        <w:tc>
          <w:tcPr>
            <w:tcW w:w="1841" w:type="pct"/>
          </w:tcPr>
          <w:p w:rsidR="00276AF0" w:rsidRPr="00AB3ADA" w:rsidRDefault="00276AF0" w:rsidP="00392243">
            <w:pPr>
              <w:widowControl w:val="0"/>
              <w:autoSpaceDE w:val="0"/>
              <w:autoSpaceDN w:val="0"/>
              <w:adjustRightInd w:val="0"/>
              <w:jc w:val="both"/>
              <w:rPr>
                <w:rFonts w:asciiTheme="minorHAnsi" w:hAnsiTheme="minorHAnsi" w:cstheme="minorHAnsi"/>
                <w:color w:val="000000"/>
              </w:rPr>
            </w:pPr>
            <w:r w:rsidRPr="00AB3ADA">
              <w:rPr>
                <w:rFonts w:asciiTheme="minorHAnsi" w:hAnsiTheme="minorHAnsi" w:cstheme="minorHAnsi"/>
                <w:color w:val="000000"/>
              </w:rPr>
              <w:t>Clotrimazole, topical</w:t>
            </w:r>
          </w:p>
        </w:tc>
        <w:tc>
          <w:tcPr>
            <w:tcW w:w="1490" w:type="pct"/>
          </w:tcPr>
          <w:p w:rsidR="00276AF0" w:rsidRPr="00AB3ADA" w:rsidRDefault="00276AF0" w:rsidP="00392243">
            <w:pPr>
              <w:jc w:val="both"/>
              <w:rPr>
                <w:rFonts w:asciiTheme="minorHAnsi" w:hAnsiTheme="minorHAnsi" w:cstheme="minorHAnsi"/>
                <w:spacing w:val="-4"/>
              </w:rPr>
            </w:pPr>
            <w:r w:rsidRPr="00AB3ADA">
              <w:rPr>
                <w:rFonts w:asciiTheme="minorHAnsi" w:hAnsiTheme="minorHAnsi" w:cstheme="minorHAnsi"/>
                <w:spacing w:val="-4"/>
              </w:rPr>
              <w:t>Added</w:t>
            </w:r>
          </w:p>
        </w:tc>
      </w:tr>
      <w:tr w:rsidR="00276AF0" w:rsidRPr="00AB3ADA" w:rsidTr="009C6600">
        <w:tc>
          <w:tcPr>
            <w:tcW w:w="1669" w:type="pct"/>
            <w:vMerge/>
          </w:tcPr>
          <w:p w:rsidR="00276AF0" w:rsidRPr="00AB3ADA" w:rsidRDefault="00276AF0" w:rsidP="00392243">
            <w:pPr>
              <w:autoSpaceDE w:val="0"/>
              <w:autoSpaceDN w:val="0"/>
              <w:adjustRightInd w:val="0"/>
              <w:jc w:val="both"/>
              <w:rPr>
                <w:rFonts w:asciiTheme="minorHAnsi" w:hAnsiTheme="minorHAnsi" w:cstheme="minorHAnsi"/>
                <w:b/>
              </w:rPr>
            </w:pPr>
          </w:p>
        </w:tc>
        <w:tc>
          <w:tcPr>
            <w:tcW w:w="1841" w:type="pct"/>
          </w:tcPr>
          <w:p w:rsidR="00276AF0" w:rsidRPr="00AB3ADA" w:rsidRDefault="00276AF0" w:rsidP="00392243">
            <w:pPr>
              <w:widowControl w:val="0"/>
              <w:autoSpaceDE w:val="0"/>
              <w:autoSpaceDN w:val="0"/>
              <w:adjustRightInd w:val="0"/>
              <w:jc w:val="both"/>
              <w:rPr>
                <w:rFonts w:asciiTheme="minorHAnsi" w:hAnsiTheme="minorHAnsi" w:cstheme="minorHAnsi"/>
                <w:color w:val="000000"/>
              </w:rPr>
            </w:pPr>
            <w:r w:rsidRPr="00AB3ADA">
              <w:rPr>
                <w:rFonts w:asciiTheme="minorHAnsi" w:hAnsiTheme="minorHAnsi" w:cstheme="minorHAnsi"/>
                <w:color w:val="000000"/>
              </w:rPr>
              <w:t>Fluconazole, oral</w:t>
            </w:r>
          </w:p>
        </w:tc>
        <w:tc>
          <w:tcPr>
            <w:tcW w:w="1490" w:type="pct"/>
          </w:tcPr>
          <w:p w:rsidR="00276AF0" w:rsidRPr="00AB3ADA" w:rsidRDefault="00276AF0" w:rsidP="00392243">
            <w:pPr>
              <w:jc w:val="both"/>
              <w:rPr>
                <w:rFonts w:asciiTheme="minorHAnsi" w:hAnsiTheme="minorHAnsi" w:cstheme="minorHAnsi"/>
                <w:spacing w:val="-4"/>
              </w:rPr>
            </w:pPr>
            <w:r w:rsidRPr="00AB3ADA">
              <w:rPr>
                <w:rFonts w:asciiTheme="minorHAnsi" w:hAnsiTheme="minorHAnsi" w:cstheme="minorHAnsi"/>
                <w:spacing w:val="-4"/>
              </w:rPr>
              <w:t>Not added</w:t>
            </w:r>
          </w:p>
        </w:tc>
      </w:tr>
      <w:tr w:rsidR="009C6600" w:rsidRPr="00AB3ADA" w:rsidTr="009C6600">
        <w:tc>
          <w:tcPr>
            <w:tcW w:w="1669" w:type="pct"/>
            <w:vMerge w:val="restart"/>
          </w:tcPr>
          <w:p w:rsidR="009C6600" w:rsidRPr="00AB3ADA" w:rsidRDefault="009C6600" w:rsidP="00392243">
            <w:pPr>
              <w:autoSpaceDE w:val="0"/>
              <w:autoSpaceDN w:val="0"/>
              <w:adjustRightInd w:val="0"/>
              <w:jc w:val="both"/>
              <w:rPr>
                <w:rFonts w:asciiTheme="minorHAnsi" w:hAnsiTheme="minorHAnsi" w:cstheme="minorHAnsi"/>
                <w:b/>
              </w:rPr>
            </w:pPr>
            <w:r w:rsidRPr="00AB3ADA">
              <w:rPr>
                <w:rFonts w:asciiTheme="minorHAnsi" w:hAnsiTheme="minorHAnsi" w:cstheme="minorHAnsi"/>
                <w:b/>
              </w:rPr>
              <w:t>12.2 Lower abdominal pain (LAP)</w:t>
            </w:r>
          </w:p>
          <w:p w:rsidR="009C6600" w:rsidRPr="00AB3ADA" w:rsidRDefault="009C6600" w:rsidP="009C6600">
            <w:pPr>
              <w:pStyle w:val="ListParagraph"/>
              <w:numPr>
                <w:ilvl w:val="0"/>
                <w:numId w:val="11"/>
              </w:numPr>
              <w:autoSpaceDE w:val="0"/>
              <w:autoSpaceDN w:val="0"/>
              <w:adjustRightInd w:val="0"/>
              <w:ind w:left="142" w:hanging="142"/>
              <w:jc w:val="both"/>
              <w:rPr>
                <w:rFonts w:asciiTheme="minorHAnsi" w:eastAsia="Calibri" w:hAnsiTheme="minorHAnsi" w:cstheme="minorHAnsi"/>
                <w:i/>
                <w:sz w:val="20"/>
                <w:szCs w:val="20"/>
                <w:lang w:eastAsia="en-ZA"/>
              </w:rPr>
            </w:pPr>
            <w:r w:rsidRPr="00AB3ADA">
              <w:rPr>
                <w:rFonts w:asciiTheme="minorHAnsi" w:eastAsia="Calibri" w:hAnsiTheme="minorHAnsi" w:cstheme="minorHAnsi"/>
                <w:i/>
                <w:sz w:val="20"/>
                <w:szCs w:val="20"/>
                <w:lang w:eastAsia="en-ZA"/>
              </w:rPr>
              <w:t>Severely ill patients: Severe penicillin allergy</w:t>
            </w:r>
          </w:p>
        </w:tc>
        <w:tc>
          <w:tcPr>
            <w:tcW w:w="1841" w:type="pct"/>
          </w:tcPr>
          <w:p w:rsidR="009C6600" w:rsidRPr="00AB3ADA" w:rsidRDefault="009C6600" w:rsidP="00E24513">
            <w:pPr>
              <w:widowControl w:val="0"/>
              <w:autoSpaceDE w:val="0"/>
              <w:autoSpaceDN w:val="0"/>
              <w:adjustRightInd w:val="0"/>
              <w:jc w:val="both"/>
              <w:rPr>
                <w:rFonts w:asciiTheme="minorHAnsi" w:hAnsiTheme="minorHAnsi" w:cstheme="minorHAnsi"/>
                <w:spacing w:val="-4"/>
              </w:rPr>
            </w:pPr>
            <w:r w:rsidRPr="00AB3ADA">
              <w:rPr>
                <w:rFonts w:asciiTheme="minorHAnsi" w:hAnsiTheme="minorHAnsi" w:cstheme="minorHAnsi"/>
                <w:spacing w:val="-4"/>
              </w:rPr>
              <w:t>Gentamicin, IV</w:t>
            </w:r>
          </w:p>
        </w:tc>
        <w:tc>
          <w:tcPr>
            <w:tcW w:w="1490" w:type="pct"/>
          </w:tcPr>
          <w:p w:rsidR="009C6600" w:rsidRPr="00AB3ADA" w:rsidRDefault="009C6600" w:rsidP="00392243">
            <w:pPr>
              <w:jc w:val="both"/>
              <w:rPr>
                <w:rFonts w:asciiTheme="minorHAnsi" w:hAnsiTheme="minorHAnsi" w:cstheme="minorHAnsi"/>
                <w:spacing w:val="-4"/>
              </w:rPr>
            </w:pPr>
            <w:r w:rsidRPr="00AB3ADA">
              <w:rPr>
                <w:rFonts w:asciiTheme="minorHAnsi" w:hAnsiTheme="minorHAnsi" w:cstheme="minorHAnsi"/>
                <w:spacing w:val="-4"/>
              </w:rPr>
              <w:t>Not added</w:t>
            </w:r>
          </w:p>
        </w:tc>
      </w:tr>
      <w:tr w:rsidR="009C6600" w:rsidRPr="00AB3ADA" w:rsidTr="009C6600">
        <w:tc>
          <w:tcPr>
            <w:tcW w:w="1669" w:type="pct"/>
            <w:vMerge/>
          </w:tcPr>
          <w:p w:rsidR="009C6600" w:rsidRPr="00AB3ADA" w:rsidRDefault="009C6600" w:rsidP="00392243">
            <w:pPr>
              <w:autoSpaceDE w:val="0"/>
              <w:autoSpaceDN w:val="0"/>
              <w:adjustRightInd w:val="0"/>
              <w:jc w:val="both"/>
              <w:rPr>
                <w:rFonts w:asciiTheme="minorHAnsi" w:hAnsiTheme="minorHAnsi" w:cstheme="minorHAnsi"/>
                <w:b/>
              </w:rPr>
            </w:pPr>
          </w:p>
        </w:tc>
        <w:tc>
          <w:tcPr>
            <w:tcW w:w="1841" w:type="pct"/>
          </w:tcPr>
          <w:p w:rsidR="009C6600" w:rsidRPr="00AB3ADA" w:rsidRDefault="009C6600" w:rsidP="00E24513">
            <w:pPr>
              <w:widowControl w:val="0"/>
              <w:autoSpaceDE w:val="0"/>
              <w:autoSpaceDN w:val="0"/>
              <w:adjustRightInd w:val="0"/>
              <w:jc w:val="both"/>
              <w:rPr>
                <w:rFonts w:asciiTheme="minorHAnsi" w:hAnsiTheme="minorHAnsi" w:cstheme="minorHAnsi"/>
                <w:i/>
                <w:spacing w:val="-4"/>
              </w:rPr>
            </w:pPr>
            <w:r w:rsidRPr="00AB3ADA">
              <w:rPr>
                <w:rFonts w:asciiTheme="minorHAnsi" w:hAnsiTheme="minorHAnsi" w:cstheme="minorHAnsi"/>
                <w:spacing w:val="-4"/>
              </w:rPr>
              <w:t>Clindamycin, IV</w:t>
            </w:r>
          </w:p>
        </w:tc>
        <w:tc>
          <w:tcPr>
            <w:tcW w:w="1490" w:type="pct"/>
          </w:tcPr>
          <w:p w:rsidR="009C6600" w:rsidRPr="00AB3ADA" w:rsidRDefault="009C6600" w:rsidP="00E24513">
            <w:pPr>
              <w:jc w:val="both"/>
              <w:rPr>
                <w:rFonts w:asciiTheme="minorHAnsi" w:hAnsiTheme="minorHAnsi" w:cstheme="minorHAnsi"/>
                <w:spacing w:val="-4"/>
              </w:rPr>
            </w:pPr>
            <w:r w:rsidRPr="00AB3ADA">
              <w:rPr>
                <w:rFonts w:asciiTheme="minorHAnsi" w:hAnsiTheme="minorHAnsi" w:cstheme="minorHAnsi"/>
                <w:spacing w:val="-4"/>
              </w:rPr>
              <w:t>Not added</w:t>
            </w:r>
          </w:p>
        </w:tc>
      </w:tr>
      <w:tr w:rsidR="009C6600" w:rsidRPr="00AB3ADA" w:rsidTr="009C6600">
        <w:tc>
          <w:tcPr>
            <w:tcW w:w="1669" w:type="pct"/>
            <w:vMerge/>
          </w:tcPr>
          <w:p w:rsidR="009C6600" w:rsidRPr="00AB3ADA" w:rsidRDefault="009C6600" w:rsidP="00392243">
            <w:pPr>
              <w:autoSpaceDE w:val="0"/>
              <w:autoSpaceDN w:val="0"/>
              <w:adjustRightInd w:val="0"/>
              <w:jc w:val="both"/>
              <w:rPr>
                <w:rFonts w:asciiTheme="minorHAnsi" w:hAnsiTheme="minorHAnsi" w:cstheme="minorHAnsi"/>
                <w:b/>
              </w:rPr>
            </w:pPr>
          </w:p>
        </w:tc>
        <w:tc>
          <w:tcPr>
            <w:tcW w:w="1841" w:type="pct"/>
          </w:tcPr>
          <w:p w:rsidR="009C6600" w:rsidRPr="00AB3ADA" w:rsidRDefault="009C6600" w:rsidP="00E24513">
            <w:pPr>
              <w:widowControl w:val="0"/>
              <w:autoSpaceDE w:val="0"/>
              <w:autoSpaceDN w:val="0"/>
              <w:adjustRightInd w:val="0"/>
              <w:jc w:val="both"/>
              <w:rPr>
                <w:rFonts w:asciiTheme="minorHAnsi" w:hAnsiTheme="minorHAnsi" w:cstheme="minorHAnsi"/>
                <w:spacing w:val="-4"/>
              </w:rPr>
            </w:pPr>
            <w:r w:rsidRPr="00AB3ADA">
              <w:rPr>
                <w:rFonts w:asciiTheme="minorHAnsi" w:hAnsiTheme="minorHAnsi" w:cstheme="minorHAnsi"/>
                <w:spacing w:val="-4"/>
              </w:rPr>
              <w:t>Ciprofloxacin, oral</w:t>
            </w:r>
          </w:p>
        </w:tc>
        <w:tc>
          <w:tcPr>
            <w:tcW w:w="1490" w:type="pct"/>
          </w:tcPr>
          <w:p w:rsidR="009C6600" w:rsidRPr="00AB3ADA" w:rsidRDefault="009C6600" w:rsidP="00E24513">
            <w:pPr>
              <w:jc w:val="both"/>
              <w:rPr>
                <w:rFonts w:asciiTheme="minorHAnsi" w:hAnsiTheme="minorHAnsi" w:cstheme="minorHAnsi"/>
                <w:spacing w:val="-4"/>
              </w:rPr>
            </w:pPr>
            <w:r w:rsidRPr="00AB3ADA">
              <w:rPr>
                <w:rFonts w:asciiTheme="minorHAnsi" w:hAnsiTheme="minorHAnsi" w:cstheme="minorHAnsi"/>
                <w:spacing w:val="-4"/>
              </w:rPr>
              <w:t>Not added</w:t>
            </w:r>
          </w:p>
        </w:tc>
      </w:tr>
      <w:tr w:rsidR="009C6600" w:rsidRPr="00AB3ADA" w:rsidTr="009C6600">
        <w:tc>
          <w:tcPr>
            <w:tcW w:w="1669" w:type="pct"/>
            <w:vMerge/>
          </w:tcPr>
          <w:p w:rsidR="009C6600" w:rsidRPr="00AB3ADA" w:rsidRDefault="009C6600" w:rsidP="00392243">
            <w:pPr>
              <w:autoSpaceDE w:val="0"/>
              <w:autoSpaceDN w:val="0"/>
              <w:adjustRightInd w:val="0"/>
              <w:jc w:val="both"/>
              <w:rPr>
                <w:rFonts w:asciiTheme="minorHAnsi" w:hAnsiTheme="minorHAnsi" w:cstheme="minorHAnsi"/>
                <w:b/>
              </w:rPr>
            </w:pPr>
          </w:p>
        </w:tc>
        <w:tc>
          <w:tcPr>
            <w:tcW w:w="1841" w:type="pct"/>
          </w:tcPr>
          <w:p w:rsidR="009C6600" w:rsidRPr="00AB3ADA" w:rsidRDefault="009C6600" w:rsidP="00E24513">
            <w:pPr>
              <w:widowControl w:val="0"/>
              <w:autoSpaceDE w:val="0"/>
              <w:autoSpaceDN w:val="0"/>
              <w:adjustRightInd w:val="0"/>
              <w:jc w:val="both"/>
              <w:rPr>
                <w:rFonts w:asciiTheme="minorHAnsi" w:hAnsiTheme="minorHAnsi" w:cstheme="minorHAnsi"/>
                <w:spacing w:val="-4"/>
              </w:rPr>
            </w:pPr>
            <w:r w:rsidRPr="00AB3ADA">
              <w:rPr>
                <w:rFonts w:asciiTheme="minorHAnsi" w:hAnsiTheme="minorHAnsi" w:cstheme="minorHAnsi"/>
                <w:spacing w:val="-4"/>
              </w:rPr>
              <w:t>Ceftriaxone, IV, 1 g</w:t>
            </w:r>
          </w:p>
        </w:tc>
        <w:tc>
          <w:tcPr>
            <w:tcW w:w="1490" w:type="pct"/>
          </w:tcPr>
          <w:p w:rsidR="009C6600" w:rsidRPr="00AB3ADA" w:rsidRDefault="009C6600" w:rsidP="00E24513">
            <w:pPr>
              <w:jc w:val="both"/>
              <w:rPr>
                <w:rFonts w:asciiTheme="minorHAnsi" w:hAnsiTheme="minorHAnsi" w:cstheme="minorHAnsi"/>
                <w:spacing w:val="-4"/>
              </w:rPr>
            </w:pPr>
            <w:r w:rsidRPr="00AB3ADA">
              <w:rPr>
                <w:rFonts w:asciiTheme="minorHAnsi" w:hAnsiTheme="minorHAnsi" w:cstheme="minorHAnsi"/>
                <w:spacing w:val="-4"/>
              </w:rPr>
              <w:t>Retained</w:t>
            </w:r>
          </w:p>
        </w:tc>
      </w:tr>
      <w:tr w:rsidR="009C6600" w:rsidRPr="00AB3ADA" w:rsidTr="009C6600">
        <w:tc>
          <w:tcPr>
            <w:tcW w:w="1669" w:type="pct"/>
            <w:vMerge/>
          </w:tcPr>
          <w:p w:rsidR="009C6600" w:rsidRPr="00AB3ADA" w:rsidRDefault="009C6600" w:rsidP="00392243">
            <w:pPr>
              <w:autoSpaceDE w:val="0"/>
              <w:autoSpaceDN w:val="0"/>
              <w:adjustRightInd w:val="0"/>
              <w:jc w:val="both"/>
              <w:rPr>
                <w:rFonts w:asciiTheme="minorHAnsi" w:hAnsiTheme="minorHAnsi" w:cstheme="minorHAnsi"/>
                <w:b/>
              </w:rPr>
            </w:pPr>
          </w:p>
        </w:tc>
        <w:tc>
          <w:tcPr>
            <w:tcW w:w="1841" w:type="pct"/>
          </w:tcPr>
          <w:p w:rsidR="009C6600" w:rsidRPr="00AB3ADA" w:rsidRDefault="009C6600" w:rsidP="00E24513">
            <w:pPr>
              <w:widowControl w:val="0"/>
              <w:autoSpaceDE w:val="0"/>
              <w:autoSpaceDN w:val="0"/>
              <w:adjustRightInd w:val="0"/>
              <w:jc w:val="both"/>
              <w:rPr>
                <w:rFonts w:asciiTheme="minorHAnsi" w:hAnsiTheme="minorHAnsi" w:cstheme="minorHAnsi"/>
                <w:spacing w:val="-4"/>
              </w:rPr>
            </w:pPr>
            <w:r w:rsidRPr="00AB3ADA">
              <w:rPr>
                <w:rFonts w:asciiTheme="minorHAnsi" w:hAnsiTheme="minorHAnsi" w:cstheme="minorHAnsi"/>
                <w:spacing w:val="-4"/>
              </w:rPr>
              <w:t>Metronidazole, oral, 400mg</w:t>
            </w:r>
          </w:p>
        </w:tc>
        <w:tc>
          <w:tcPr>
            <w:tcW w:w="1490" w:type="pct"/>
          </w:tcPr>
          <w:p w:rsidR="009C6600" w:rsidRPr="00AB3ADA" w:rsidRDefault="009C6600" w:rsidP="00E24513">
            <w:pPr>
              <w:jc w:val="both"/>
              <w:rPr>
                <w:rFonts w:asciiTheme="minorHAnsi" w:hAnsiTheme="minorHAnsi" w:cstheme="minorHAnsi"/>
                <w:spacing w:val="-4"/>
              </w:rPr>
            </w:pPr>
            <w:r w:rsidRPr="00AB3ADA">
              <w:rPr>
                <w:rFonts w:asciiTheme="minorHAnsi" w:hAnsiTheme="minorHAnsi" w:cstheme="minorHAnsi"/>
                <w:spacing w:val="-4"/>
              </w:rPr>
              <w:t>Retained</w:t>
            </w:r>
          </w:p>
        </w:tc>
      </w:tr>
      <w:tr w:rsidR="00DE3F6A" w:rsidRPr="00AB3ADA" w:rsidTr="009C6600">
        <w:tc>
          <w:tcPr>
            <w:tcW w:w="1669" w:type="pct"/>
            <w:vMerge w:val="restart"/>
          </w:tcPr>
          <w:p w:rsidR="00DE3F6A" w:rsidRPr="00AB3ADA" w:rsidRDefault="00DE3F6A" w:rsidP="00DE3F6A">
            <w:pPr>
              <w:autoSpaceDE w:val="0"/>
              <w:autoSpaceDN w:val="0"/>
              <w:adjustRightInd w:val="0"/>
              <w:jc w:val="both"/>
              <w:rPr>
                <w:rFonts w:asciiTheme="minorHAnsi" w:hAnsiTheme="minorHAnsi" w:cstheme="minorHAnsi"/>
                <w:b/>
              </w:rPr>
            </w:pPr>
            <w:r w:rsidRPr="00AB3ADA">
              <w:rPr>
                <w:rFonts w:asciiTheme="minorHAnsi" w:hAnsiTheme="minorHAnsi" w:cstheme="minorHAnsi"/>
                <w:b/>
              </w:rPr>
              <w:t>12.5 Genital ulcer syndrome (GUS)</w:t>
            </w:r>
          </w:p>
        </w:tc>
        <w:tc>
          <w:tcPr>
            <w:tcW w:w="1841" w:type="pct"/>
          </w:tcPr>
          <w:p w:rsidR="00DE3F6A" w:rsidRPr="00AB3ADA" w:rsidRDefault="00DE3F6A" w:rsidP="00392243">
            <w:pPr>
              <w:widowControl w:val="0"/>
              <w:autoSpaceDE w:val="0"/>
              <w:autoSpaceDN w:val="0"/>
              <w:adjustRightInd w:val="0"/>
              <w:jc w:val="both"/>
              <w:rPr>
                <w:rFonts w:asciiTheme="minorHAnsi" w:hAnsiTheme="minorHAnsi" w:cstheme="minorHAnsi"/>
                <w:color w:val="000000"/>
              </w:rPr>
            </w:pPr>
            <w:r w:rsidRPr="00AB3ADA">
              <w:rPr>
                <w:rFonts w:asciiTheme="minorHAnsi" w:hAnsiTheme="minorHAnsi" w:cstheme="minorHAnsi"/>
                <w:color w:val="000000"/>
              </w:rPr>
              <w:t xml:space="preserve"> Benzathine benzylpenicillin, IM, 2.4MU</w:t>
            </w:r>
          </w:p>
        </w:tc>
        <w:tc>
          <w:tcPr>
            <w:tcW w:w="1490" w:type="pct"/>
          </w:tcPr>
          <w:p w:rsidR="00DE3F6A" w:rsidRPr="00AB3ADA" w:rsidRDefault="00DE3F6A" w:rsidP="00392243">
            <w:pPr>
              <w:jc w:val="both"/>
              <w:rPr>
                <w:rFonts w:asciiTheme="minorHAnsi" w:hAnsiTheme="minorHAnsi" w:cstheme="minorHAnsi"/>
                <w:spacing w:val="-4"/>
              </w:rPr>
            </w:pPr>
            <w:r w:rsidRPr="00AB3ADA">
              <w:rPr>
                <w:rFonts w:asciiTheme="minorHAnsi" w:hAnsiTheme="minorHAnsi" w:cstheme="minorHAnsi"/>
                <w:spacing w:val="-4"/>
              </w:rPr>
              <w:t xml:space="preserve"> Amended</w:t>
            </w:r>
          </w:p>
        </w:tc>
      </w:tr>
      <w:tr w:rsidR="00DE3F6A" w:rsidRPr="00AB3ADA" w:rsidTr="009C6600">
        <w:tc>
          <w:tcPr>
            <w:tcW w:w="1669" w:type="pct"/>
            <w:vMerge/>
          </w:tcPr>
          <w:p w:rsidR="00DE3F6A" w:rsidRPr="00AB3ADA" w:rsidRDefault="00DE3F6A" w:rsidP="00392243">
            <w:pPr>
              <w:autoSpaceDE w:val="0"/>
              <w:autoSpaceDN w:val="0"/>
              <w:adjustRightInd w:val="0"/>
              <w:jc w:val="both"/>
              <w:rPr>
                <w:rFonts w:asciiTheme="minorHAnsi" w:hAnsiTheme="minorHAnsi" w:cstheme="minorHAnsi"/>
                <w:b/>
              </w:rPr>
            </w:pPr>
          </w:p>
        </w:tc>
        <w:tc>
          <w:tcPr>
            <w:tcW w:w="1841" w:type="pct"/>
          </w:tcPr>
          <w:p w:rsidR="00DE3F6A" w:rsidRPr="00AB3ADA" w:rsidDel="00DE3F6A" w:rsidRDefault="00DE3F6A" w:rsidP="009C6600">
            <w:pPr>
              <w:widowControl w:val="0"/>
              <w:autoSpaceDE w:val="0"/>
              <w:autoSpaceDN w:val="0"/>
              <w:adjustRightInd w:val="0"/>
              <w:jc w:val="both"/>
              <w:rPr>
                <w:rFonts w:asciiTheme="minorHAnsi" w:hAnsiTheme="minorHAnsi" w:cstheme="minorHAnsi"/>
                <w:spacing w:val="-4"/>
              </w:rPr>
            </w:pPr>
            <w:r w:rsidRPr="00AB3ADA">
              <w:rPr>
                <w:rFonts w:asciiTheme="minorHAnsi" w:hAnsiTheme="minorHAnsi" w:cstheme="minorHAnsi"/>
                <w:spacing w:val="-4"/>
              </w:rPr>
              <w:t>Doxycyline, oral</w:t>
            </w:r>
          </w:p>
        </w:tc>
        <w:tc>
          <w:tcPr>
            <w:tcW w:w="1490" w:type="pct"/>
          </w:tcPr>
          <w:p w:rsidR="00DE3F6A" w:rsidRPr="00AB3ADA" w:rsidDel="00DE3F6A" w:rsidRDefault="00DE3F6A" w:rsidP="00392243">
            <w:pPr>
              <w:jc w:val="both"/>
              <w:rPr>
                <w:rFonts w:asciiTheme="minorHAnsi" w:hAnsiTheme="minorHAnsi" w:cstheme="minorHAnsi"/>
                <w:spacing w:val="-4"/>
              </w:rPr>
            </w:pPr>
            <w:r w:rsidRPr="00AB3ADA">
              <w:rPr>
                <w:rFonts w:asciiTheme="minorHAnsi" w:hAnsiTheme="minorHAnsi" w:cstheme="minorHAnsi"/>
                <w:spacing w:val="-4"/>
              </w:rPr>
              <w:t>Amended</w:t>
            </w:r>
          </w:p>
        </w:tc>
      </w:tr>
      <w:tr w:rsidR="00DE3F6A" w:rsidRPr="00AB3ADA" w:rsidTr="009C6600">
        <w:tc>
          <w:tcPr>
            <w:tcW w:w="1669" w:type="pct"/>
          </w:tcPr>
          <w:p w:rsidR="00DE3F6A" w:rsidRPr="00AB3ADA" w:rsidRDefault="00DE3F6A" w:rsidP="00392243">
            <w:pPr>
              <w:autoSpaceDE w:val="0"/>
              <w:autoSpaceDN w:val="0"/>
              <w:adjustRightInd w:val="0"/>
              <w:jc w:val="both"/>
              <w:rPr>
                <w:rFonts w:asciiTheme="minorHAnsi" w:hAnsiTheme="minorHAnsi" w:cstheme="minorHAnsi"/>
                <w:b/>
              </w:rPr>
            </w:pPr>
            <w:r w:rsidRPr="00AB3ADA">
              <w:rPr>
                <w:rFonts w:asciiTheme="minorHAnsi" w:hAnsiTheme="minorHAnsi" w:cstheme="minorHAnsi"/>
                <w:i/>
              </w:rPr>
              <w:t>- Aciclovir-resistant ulcers</w:t>
            </w:r>
          </w:p>
        </w:tc>
        <w:tc>
          <w:tcPr>
            <w:tcW w:w="1841" w:type="pct"/>
          </w:tcPr>
          <w:p w:rsidR="00DE3F6A" w:rsidRPr="00AB3ADA" w:rsidRDefault="00DE3F6A" w:rsidP="00DE3F6A">
            <w:pPr>
              <w:widowControl w:val="0"/>
              <w:autoSpaceDE w:val="0"/>
              <w:autoSpaceDN w:val="0"/>
              <w:adjustRightInd w:val="0"/>
              <w:jc w:val="both"/>
              <w:rPr>
                <w:rFonts w:asciiTheme="minorHAnsi" w:hAnsiTheme="minorHAnsi" w:cstheme="minorHAnsi"/>
                <w:spacing w:val="-4"/>
              </w:rPr>
            </w:pPr>
            <w:r w:rsidRPr="00AB3ADA">
              <w:rPr>
                <w:rFonts w:asciiTheme="minorHAnsi" w:hAnsiTheme="minorHAnsi" w:cstheme="minorHAnsi"/>
                <w:spacing w:val="-4"/>
              </w:rPr>
              <w:t>Azithromycin, oral, 1 g</w:t>
            </w:r>
          </w:p>
          <w:p w:rsidR="00DE3F6A" w:rsidRPr="00AB3ADA" w:rsidRDefault="00DE3F6A" w:rsidP="009C6600">
            <w:pPr>
              <w:widowControl w:val="0"/>
              <w:autoSpaceDE w:val="0"/>
              <w:autoSpaceDN w:val="0"/>
              <w:adjustRightInd w:val="0"/>
              <w:jc w:val="both"/>
              <w:rPr>
                <w:rFonts w:asciiTheme="minorHAnsi" w:hAnsiTheme="minorHAnsi" w:cstheme="minorHAnsi"/>
                <w:spacing w:val="-4"/>
              </w:rPr>
            </w:pPr>
          </w:p>
        </w:tc>
        <w:tc>
          <w:tcPr>
            <w:tcW w:w="1490" w:type="pct"/>
          </w:tcPr>
          <w:p w:rsidR="00DE3F6A" w:rsidRPr="00AB3ADA" w:rsidRDefault="00DE3F6A" w:rsidP="00392243">
            <w:pPr>
              <w:jc w:val="both"/>
              <w:rPr>
                <w:rFonts w:asciiTheme="minorHAnsi" w:hAnsiTheme="minorHAnsi" w:cstheme="minorHAnsi"/>
                <w:spacing w:val="-4"/>
              </w:rPr>
            </w:pPr>
            <w:r w:rsidRPr="00AB3ADA">
              <w:rPr>
                <w:rFonts w:asciiTheme="minorHAnsi" w:hAnsiTheme="minorHAnsi" w:cstheme="minorHAnsi"/>
                <w:spacing w:val="-4"/>
              </w:rPr>
              <w:t>Retained and directions for use amended</w:t>
            </w:r>
          </w:p>
        </w:tc>
      </w:tr>
      <w:tr w:rsidR="009C6600" w:rsidRPr="00AB3ADA" w:rsidTr="009C6600">
        <w:tc>
          <w:tcPr>
            <w:tcW w:w="1669" w:type="pct"/>
          </w:tcPr>
          <w:p w:rsidR="009C6600" w:rsidRPr="00AB3ADA" w:rsidRDefault="00ED1999" w:rsidP="00392243">
            <w:pPr>
              <w:autoSpaceDE w:val="0"/>
              <w:autoSpaceDN w:val="0"/>
              <w:adjustRightInd w:val="0"/>
              <w:jc w:val="both"/>
              <w:rPr>
                <w:rFonts w:asciiTheme="minorHAnsi" w:hAnsiTheme="minorHAnsi" w:cstheme="minorHAnsi"/>
                <w:b/>
              </w:rPr>
            </w:pPr>
            <w:r w:rsidRPr="00AB3ADA">
              <w:rPr>
                <w:rFonts w:asciiTheme="minorHAnsi" w:hAnsiTheme="minorHAnsi" w:cstheme="minorHAnsi"/>
                <w:b/>
              </w:rPr>
              <w:t>12.6 Bubo</w:t>
            </w:r>
          </w:p>
        </w:tc>
        <w:tc>
          <w:tcPr>
            <w:tcW w:w="1841" w:type="pct"/>
          </w:tcPr>
          <w:p w:rsidR="009C6600" w:rsidRPr="00AB3ADA" w:rsidRDefault="00ED1999" w:rsidP="00ED1999">
            <w:pPr>
              <w:widowControl w:val="0"/>
              <w:autoSpaceDE w:val="0"/>
              <w:autoSpaceDN w:val="0"/>
              <w:adjustRightInd w:val="0"/>
              <w:jc w:val="both"/>
              <w:rPr>
                <w:rFonts w:asciiTheme="minorHAnsi" w:hAnsiTheme="minorHAnsi" w:cstheme="minorHAnsi"/>
                <w:color w:val="000000"/>
              </w:rPr>
            </w:pPr>
            <w:r w:rsidRPr="00AB3ADA">
              <w:rPr>
                <w:rFonts w:asciiTheme="minorHAnsi" w:hAnsiTheme="minorHAnsi" w:cstheme="minorHAnsi"/>
                <w:color w:val="000000"/>
              </w:rPr>
              <w:t>Azithromycin, oral, 1g</w:t>
            </w:r>
          </w:p>
        </w:tc>
        <w:tc>
          <w:tcPr>
            <w:tcW w:w="1490" w:type="pct"/>
          </w:tcPr>
          <w:p w:rsidR="009C6600" w:rsidRPr="00AB3ADA" w:rsidRDefault="00ED1999" w:rsidP="00392243">
            <w:pPr>
              <w:jc w:val="both"/>
              <w:rPr>
                <w:rFonts w:asciiTheme="minorHAnsi" w:hAnsiTheme="minorHAnsi" w:cstheme="minorHAnsi"/>
                <w:spacing w:val="-4"/>
              </w:rPr>
            </w:pPr>
            <w:r w:rsidRPr="00AB3ADA">
              <w:rPr>
                <w:rFonts w:asciiTheme="minorHAnsi" w:hAnsiTheme="minorHAnsi" w:cstheme="minorHAnsi"/>
                <w:spacing w:val="-4"/>
              </w:rPr>
              <w:t>Dosing amended</w:t>
            </w:r>
          </w:p>
        </w:tc>
      </w:tr>
      <w:tr w:rsidR="009C6600" w:rsidRPr="00AB3ADA" w:rsidTr="009C6600">
        <w:tc>
          <w:tcPr>
            <w:tcW w:w="1669" w:type="pct"/>
          </w:tcPr>
          <w:p w:rsidR="009C6600" w:rsidRPr="00AB3ADA" w:rsidRDefault="00ED1999" w:rsidP="00392243">
            <w:pPr>
              <w:autoSpaceDE w:val="0"/>
              <w:autoSpaceDN w:val="0"/>
              <w:adjustRightInd w:val="0"/>
              <w:jc w:val="both"/>
              <w:rPr>
                <w:rFonts w:asciiTheme="minorHAnsi" w:hAnsiTheme="minorHAnsi" w:cstheme="minorHAnsi"/>
                <w:b/>
                <w:spacing w:val="-4"/>
              </w:rPr>
            </w:pPr>
            <w:r w:rsidRPr="00AB3ADA">
              <w:rPr>
                <w:rFonts w:asciiTheme="minorHAnsi" w:hAnsiTheme="minorHAnsi" w:cstheme="minorHAnsi"/>
                <w:b/>
                <w:spacing w:val="-4"/>
              </w:rPr>
              <w:t>12.7 Balanitis/balanoposthitis (BAL)</w:t>
            </w:r>
          </w:p>
        </w:tc>
        <w:tc>
          <w:tcPr>
            <w:tcW w:w="1841" w:type="pct"/>
          </w:tcPr>
          <w:p w:rsidR="009C6600" w:rsidRPr="00AB3ADA" w:rsidRDefault="00ED1999" w:rsidP="00392243">
            <w:pPr>
              <w:widowControl w:val="0"/>
              <w:autoSpaceDE w:val="0"/>
              <w:autoSpaceDN w:val="0"/>
              <w:adjustRightInd w:val="0"/>
              <w:jc w:val="both"/>
              <w:rPr>
                <w:rFonts w:asciiTheme="minorHAnsi" w:hAnsiTheme="minorHAnsi" w:cstheme="minorHAnsi"/>
                <w:color w:val="000000"/>
              </w:rPr>
            </w:pPr>
            <w:r w:rsidRPr="00AB3ADA">
              <w:rPr>
                <w:rFonts w:asciiTheme="minorHAnsi" w:hAnsiTheme="minorHAnsi" w:cstheme="minorHAnsi"/>
                <w:color w:val="000000"/>
              </w:rPr>
              <w:t>Benzathine benzylpenicillin, IM, 2.4MU</w:t>
            </w:r>
          </w:p>
        </w:tc>
        <w:tc>
          <w:tcPr>
            <w:tcW w:w="1490" w:type="pct"/>
          </w:tcPr>
          <w:p w:rsidR="009C6600" w:rsidRPr="00AB3ADA" w:rsidRDefault="00ED1999" w:rsidP="00392243">
            <w:pPr>
              <w:jc w:val="both"/>
              <w:rPr>
                <w:rFonts w:asciiTheme="minorHAnsi" w:hAnsiTheme="minorHAnsi" w:cstheme="minorHAnsi"/>
                <w:spacing w:val="-4"/>
              </w:rPr>
            </w:pPr>
            <w:r w:rsidRPr="00AB3ADA">
              <w:rPr>
                <w:rFonts w:asciiTheme="minorHAnsi" w:hAnsiTheme="minorHAnsi" w:cstheme="minorHAnsi"/>
                <w:spacing w:val="-4"/>
              </w:rPr>
              <w:t>Deleted</w:t>
            </w:r>
          </w:p>
        </w:tc>
      </w:tr>
      <w:tr w:rsidR="00ED1999" w:rsidRPr="00AB3ADA" w:rsidTr="009C6600">
        <w:tc>
          <w:tcPr>
            <w:tcW w:w="1669" w:type="pct"/>
            <w:vMerge w:val="restart"/>
          </w:tcPr>
          <w:p w:rsidR="00ED1999" w:rsidRPr="00AB3ADA" w:rsidRDefault="00ED1999" w:rsidP="00392243">
            <w:pPr>
              <w:autoSpaceDE w:val="0"/>
              <w:autoSpaceDN w:val="0"/>
              <w:adjustRightInd w:val="0"/>
              <w:jc w:val="both"/>
              <w:rPr>
                <w:rFonts w:asciiTheme="minorHAnsi" w:hAnsiTheme="minorHAnsi" w:cstheme="minorHAnsi"/>
                <w:b/>
              </w:rPr>
            </w:pPr>
            <w:r w:rsidRPr="00AB3ADA">
              <w:rPr>
                <w:rFonts w:asciiTheme="minorHAnsi" w:hAnsiTheme="minorHAnsi" w:cstheme="minorHAnsi"/>
                <w:b/>
              </w:rPr>
              <w:t>12.12 Pubic lice (Pediculosis of the eyelashes or eyebrows</w:t>
            </w:r>
          </w:p>
        </w:tc>
        <w:tc>
          <w:tcPr>
            <w:tcW w:w="1841" w:type="pct"/>
          </w:tcPr>
          <w:p w:rsidR="00ED1999" w:rsidRPr="00AB3ADA" w:rsidRDefault="00ED1999" w:rsidP="00392243">
            <w:pPr>
              <w:widowControl w:val="0"/>
              <w:autoSpaceDE w:val="0"/>
              <w:autoSpaceDN w:val="0"/>
              <w:adjustRightInd w:val="0"/>
              <w:jc w:val="both"/>
              <w:rPr>
                <w:rFonts w:asciiTheme="minorHAnsi" w:hAnsiTheme="minorHAnsi" w:cstheme="minorHAnsi"/>
                <w:color w:val="000000"/>
              </w:rPr>
            </w:pPr>
            <w:r w:rsidRPr="00AB3ADA">
              <w:rPr>
                <w:rFonts w:asciiTheme="minorHAnsi" w:hAnsiTheme="minorHAnsi" w:cstheme="minorHAnsi"/>
                <w:color w:val="000000"/>
              </w:rPr>
              <w:t>Yellow petroleum jelly</w:t>
            </w:r>
          </w:p>
        </w:tc>
        <w:tc>
          <w:tcPr>
            <w:tcW w:w="1490" w:type="pct"/>
          </w:tcPr>
          <w:p w:rsidR="00ED1999" w:rsidRPr="00AB3ADA" w:rsidRDefault="00ED1999" w:rsidP="00392243">
            <w:pPr>
              <w:jc w:val="both"/>
              <w:rPr>
                <w:rFonts w:asciiTheme="minorHAnsi" w:hAnsiTheme="minorHAnsi" w:cstheme="minorHAnsi"/>
                <w:spacing w:val="-4"/>
              </w:rPr>
            </w:pPr>
            <w:r w:rsidRPr="00AB3ADA">
              <w:rPr>
                <w:rFonts w:asciiTheme="minorHAnsi" w:hAnsiTheme="minorHAnsi" w:cstheme="minorHAnsi"/>
                <w:spacing w:val="-4"/>
              </w:rPr>
              <w:t>Added</w:t>
            </w:r>
          </w:p>
        </w:tc>
      </w:tr>
      <w:tr w:rsidR="00ED1999" w:rsidRPr="00AB3ADA" w:rsidTr="009C6600">
        <w:tc>
          <w:tcPr>
            <w:tcW w:w="1669" w:type="pct"/>
            <w:vMerge/>
          </w:tcPr>
          <w:p w:rsidR="00ED1999" w:rsidRPr="00AB3ADA" w:rsidRDefault="00ED1999" w:rsidP="00392243">
            <w:pPr>
              <w:autoSpaceDE w:val="0"/>
              <w:autoSpaceDN w:val="0"/>
              <w:adjustRightInd w:val="0"/>
              <w:jc w:val="both"/>
              <w:rPr>
                <w:rFonts w:asciiTheme="minorHAnsi" w:hAnsiTheme="minorHAnsi" w:cstheme="minorHAnsi"/>
                <w:b/>
              </w:rPr>
            </w:pPr>
          </w:p>
        </w:tc>
        <w:tc>
          <w:tcPr>
            <w:tcW w:w="1841" w:type="pct"/>
          </w:tcPr>
          <w:p w:rsidR="00ED1999" w:rsidRPr="00AB3ADA" w:rsidRDefault="00ED1999" w:rsidP="00392243">
            <w:pPr>
              <w:widowControl w:val="0"/>
              <w:autoSpaceDE w:val="0"/>
              <w:autoSpaceDN w:val="0"/>
              <w:adjustRightInd w:val="0"/>
              <w:jc w:val="both"/>
              <w:rPr>
                <w:rFonts w:asciiTheme="minorHAnsi" w:hAnsiTheme="minorHAnsi" w:cstheme="minorHAnsi"/>
                <w:color w:val="000000"/>
              </w:rPr>
            </w:pPr>
            <w:r w:rsidRPr="00AB3ADA">
              <w:rPr>
                <w:rFonts w:asciiTheme="minorHAnsi" w:hAnsiTheme="minorHAnsi" w:cstheme="minorHAnsi"/>
                <w:color w:val="000000"/>
              </w:rPr>
              <w:t>White petroleum jelly</w:t>
            </w:r>
          </w:p>
        </w:tc>
        <w:tc>
          <w:tcPr>
            <w:tcW w:w="1490" w:type="pct"/>
          </w:tcPr>
          <w:p w:rsidR="00ED1999" w:rsidRPr="00AB3ADA" w:rsidRDefault="00ED1999" w:rsidP="00392243">
            <w:pPr>
              <w:jc w:val="both"/>
              <w:rPr>
                <w:rFonts w:asciiTheme="minorHAnsi" w:hAnsiTheme="minorHAnsi" w:cstheme="minorHAnsi"/>
                <w:spacing w:val="-4"/>
              </w:rPr>
            </w:pPr>
            <w:r w:rsidRPr="00AB3ADA">
              <w:rPr>
                <w:rFonts w:asciiTheme="minorHAnsi" w:hAnsiTheme="minorHAnsi" w:cstheme="minorHAnsi"/>
                <w:spacing w:val="-4"/>
              </w:rPr>
              <w:t>Deleted</w:t>
            </w:r>
          </w:p>
        </w:tc>
      </w:tr>
      <w:tr w:rsidR="00ED1999" w:rsidRPr="00AB3ADA" w:rsidTr="009C6600">
        <w:tc>
          <w:tcPr>
            <w:tcW w:w="1669" w:type="pct"/>
          </w:tcPr>
          <w:p w:rsidR="00ED1999" w:rsidRPr="00AB3ADA" w:rsidRDefault="00ED1999" w:rsidP="00392243">
            <w:pPr>
              <w:autoSpaceDE w:val="0"/>
              <w:autoSpaceDN w:val="0"/>
              <w:adjustRightInd w:val="0"/>
              <w:jc w:val="both"/>
              <w:rPr>
                <w:rFonts w:asciiTheme="minorHAnsi" w:hAnsiTheme="minorHAnsi" w:cstheme="minorHAnsi"/>
                <w:b/>
              </w:rPr>
            </w:pPr>
            <w:r w:rsidRPr="00AB3ADA">
              <w:rPr>
                <w:rFonts w:asciiTheme="minorHAnsi" w:hAnsiTheme="minorHAnsi" w:cstheme="minorHAnsi"/>
                <w:b/>
              </w:rPr>
              <w:t>12.8 Syphilis serology and treatment</w:t>
            </w:r>
          </w:p>
          <w:p w:rsidR="00ED1999" w:rsidRPr="00AB3ADA" w:rsidRDefault="008E68CA" w:rsidP="00ED1999">
            <w:pPr>
              <w:pStyle w:val="ListParagraph"/>
              <w:numPr>
                <w:ilvl w:val="0"/>
                <w:numId w:val="13"/>
              </w:numPr>
              <w:autoSpaceDE w:val="0"/>
              <w:autoSpaceDN w:val="0"/>
              <w:adjustRightInd w:val="0"/>
              <w:jc w:val="both"/>
              <w:rPr>
                <w:rFonts w:asciiTheme="minorHAnsi" w:eastAsia="Calibri" w:hAnsiTheme="minorHAnsi" w:cstheme="minorHAnsi"/>
                <w:b/>
                <w:sz w:val="20"/>
                <w:szCs w:val="20"/>
                <w:lang w:eastAsia="en-ZA"/>
              </w:rPr>
            </w:pPr>
            <w:r w:rsidRPr="00AB3ADA">
              <w:rPr>
                <w:rFonts w:asciiTheme="minorHAnsi" w:eastAsia="Calibri" w:hAnsiTheme="minorHAnsi" w:cstheme="minorHAnsi"/>
                <w:i/>
                <w:sz w:val="20"/>
                <w:szCs w:val="20"/>
                <w:lang w:eastAsia="en-ZA"/>
              </w:rPr>
              <w:t xml:space="preserve">Early syphilis and </w:t>
            </w:r>
            <w:r w:rsidR="00ED1999" w:rsidRPr="00AB3ADA">
              <w:rPr>
                <w:rFonts w:asciiTheme="minorHAnsi" w:eastAsia="Calibri" w:hAnsiTheme="minorHAnsi" w:cstheme="minorHAnsi"/>
                <w:i/>
                <w:sz w:val="20"/>
                <w:szCs w:val="20"/>
                <w:lang w:eastAsia="en-ZA"/>
              </w:rPr>
              <w:t>Late latent syphilis treatment</w:t>
            </w:r>
            <w:r w:rsidRPr="00AB3ADA">
              <w:rPr>
                <w:rFonts w:asciiTheme="minorHAnsi" w:eastAsia="Calibri" w:hAnsiTheme="minorHAnsi" w:cstheme="minorHAnsi"/>
                <w:i/>
                <w:sz w:val="20"/>
                <w:szCs w:val="20"/>
                <w:lang w:eastAsia="en-ZA"/>
              </w:rPr>
              <w:t xml:space="preserve">: </w:t>
            </w:r>
            <w:r w:rsidR="00ED1999" w:rsidRPr="00AB3ADA">
              <w:rPr>
                <w:rFonts w:asciiTheme="minorHAnsi" w:eastAsia="Calibri" w:hAnsiTheme="minorHAnsi" w:cstheme="minorHAnsi"/>
                <w:i/>
                <w:sz w:val="20"/>
                <w:szCs w:val="20"/>
                <w:lang w:eastAsia="en-ZA"/>
              </w:rPr>
              <w:t>Severe penicillin allergy</w:t>
            </w:r>
            <w:r w:rsidRPr="00AB3ADA">
              <w:rPr>
                <w:rFonts w:asciiTheme="minorHAnsi" w:eastAsia="Calibri" w:hAnsiTheme="minorHAnsi" w:cstheme="minorHAnsi"/>
                <w:i/>
                <w:sz w:val="20"/>
                <w:szCs w:val="20"/>
                <w:lang w:eastAsia="en-ZA"/>
              </w:rPr>
              <w:t xml:space="preserve"> and if benzathine benzylpenicillin is unavailable</w:t>
            </w:r>
            <w:r w:rsidR="00ED1999" w:rsidRPr="00AB3ADA">
              <w:rPr>
                <w:rFonts w:asciiTheme="minorHAnsi" w:eastAsia="Calibri" w:hAnsiTheme="minorHAnsi" w:cstheme="minorHAnsi"/>
                <w:i/>
                <w:sz w:val="20"/>
                <w:szCs w:val="20"/>
                <w:lang w:eastAsia="en-ZA"/>
              </w:rPr>
              <w:t>:</w:t>
            </w:r>
          </w:p>
        </w:tc>
        <w:tc>
          <w:tcPr>
            <w:tcW w:w="1841" w:type="pct"/>
          </w:tcPr>
          <w:p w:rsidR="00ED1999" w:rsidRPr="00AB3ADA" w:rsidRDefault="00ED1999" w:rsidP="00ED1999">
            <w:pPr>
              <w:widowControl w:val="0"/>
              <w:autoSpaceDE w:val="0"/>
              <w:autoSpaceDN w:val="0"/>
              <w:adjustRightInd w:val="0"/>
              <w:jc w:val="both"/>
              <w:rPr>
                <w:rFonts w:asciiTheme="minorHAnsi" w:hAnsiTheme="minorHAnsi" w:cstheme="minorHAnsi"/>
                <w:i/>
                <w:spacing w:val="-4"/>
              </w:rPr>
            </w:pPr>
            <w:r w:rsidRPr="00AB3ADA">
              <w:rPr>
                <w:rFonts w:asciiTheme="minorHAnsi" w:hAnsiTheme="minorHAnsi" w:cstheme="minorHAnsi"/>
                <w:spacing w:val="-4"/>
              </w:rPr>
              <w:t>Doxycycline, oral</w:t>
            </w:r>
          </w:p>
        </w:tc>
        <w:tc>
          <w:tcPr>
            <w:tcW w:w="1490" w:type="pct"/>
          </w:tcPr>
          <w:p w:rsidR="00ED1999" w:rsidRPr="00AB3ADA" w:rsidRDefault="00ED1999" w:rsidP="00392243">
            <w:pPr>
              <w:jc w:val="both"/>
              <w:rPr>
                <w:rFonts w:asciiTheme="minorHAnsi" w:hAnsiTheme="minorHAnsi" w:cstheme="minorHAnsi"/>
                <w:spacing w:val="-4"/>
              </w:rPr>
            </w:pPr>
            <w:r w:rsidRPr="00AB3ADA">
              <w:rPr>
                <w:rFonts w:asciiTheme="minorHAnsi" w:hAnsiTheme="minorHAnsi" w:cstheme="minorHAnsi"/>
                <w:spacing w:val="-4"/>
              </w:rPr>
              <w:t>Added</w:t>
            </w:r>
          </w:p>
        </w:tc>
      </w:tr>
    </w:tbl>
    <w:p w:rsidR="00392243" w:rsidRPr="00F7748E" w:rsidRDefault="00392243" w:rsidP="00392243">
      <w:pPr>
        <w:spacing w:after="0" w:line="240" w:lineRule="auto"/>
        <w:jc w:val="both"/>
        <w:rPr>
          <w:rFonts w:cstheme="minorHAnsi"/>
          <w:b/>
          <w:sz w:val="24"/>
          <w:szCs w:val="10"/>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392243" w:rsidRPr="00AB3ADA" w:rsidTr="00392243">
        <w:tc>
          <w:tcPr>
            <w:tcW w:w="9242" w:type="dxa"/>
            <w:tcBorders>
              <w:top w:val="double" w:sz="4" w:space="0" w:color="C0C0C0"/>
              <w:left w:val="double" w:sz="4" w:space="0" w:color="C0C0C0"/>
              <w:bottom w:val="double" w:sz="4" w:space="0" w:color="C0C0C0"/>
              <w:right w:val="double" w:sz="4" w:space="0" w:color="C0C0C0"/>
            </w:tcBorders>
          </w:tcPr>
          <w:p w:rsidR="00392243" w:rsidRPr="00AB3ADA" w:rsidRDefault="00392243" w:rsidP="00392243">
            <w:pPr>
              <w:widowControl w:val="0"/>
              <w:autoSpaceDE w:val="0"/>
              <w:autoSpaceDN w:val="0"/>
              <w:adjustRightInd w:val="0"/>
              <w:spacing w:before="120" w:after="120" w:line="240" w:lineRule="auto"/>
              <w:rPr>
                <w:rFonts w:cstheme="minorHAnsi"/>
                <w:b/>
              </w:rPr>
            </w:pPr>
            <w:r w:rsidRPr="00AB3ADA">
              <w:rPr>
                <w:rFonts w:cstheme="minorHAnsi"/>
                <w:b/>
                <w:bCs/>
              </w:rPr>
              <w:t>GENERAL</w:t>
            </w:r>
          </w:p>
        </w:tc>
      </w:tr>
    </w:tbl>
    <w:p w:rsidR="00975C50" w:rsidRPr="00AB3ADA" w:rsidRDefault="00975C50" w:rsidP="00975C50">
      <w:pPr>
        <w:pStyle w:val="ListParagraph"/>
        <w:widowControl w:val="0"/>
        <w:autoSpaceDE w:val="0"/>
        <w:autoSpaceDN w:val="0"/>
        <w:adjustRightInd w:val="0"/>
        <w:ind w:left="0"/>
        <w:jc w:val="both"/>
        <w:rPr>
          <w:rFonts w:asciiTheme="minorHAnsi" w:hAnsiTheme="minorHAnsi" w:cstheme="minorHAnsi"/>
          <w:spacing w:val="-4"/>
          <w:sz w:val="22"/>
          <w:szCs w:val="22"/>
        </w:rPr>
      </w:pPr>
      <w:r w:rsidRPr="00AB3ADA">
        <w:rPr>
          <w:rFonts w:asciiTheme="minorHAnsi" w:hAnsiTheme="minorHAnsi" w:cstheme="minorHAnsi"/>
          <w:spacing w:val="-4"/>
          <w:sz w:val="22"/>
          <w:szCs w:val="22"/>
        </w:rPr>
        <w:t>Algorithms were amended to provide guidance at primary level of care. Further investigation and management of treatment-resistant cases to be done at secondary level</w:t>
      </w:r>
      <w:r w:rsidR="00D44000" w:rsidRPr="00AB3ADA">
        <w:rPr>
          <w:rFonts w:asciiTheme="minorHAnsi" w:hAnsiTheme="minorHAnsi" w:cstheme="minorHAnsi"/>
          <w:spacing w:val="-4"/>
          <w:sz w:val="22"/>
          <w:szCs w:val="22"/>
        </w:rPr>
        <w:t>;</w:t>
      </w:r>
      <w:r w:rsidRPr="00AB3ADA">
        <w:rPr>
          <w:rFonts w:asciiTheme="minorHAnsi" w:hAnsiTheme="minorHAnsi" w:cstheme="minorHAnsi"/>
          <w:spacing w:val="-4"/>
          <w:sz w:val="22"/>
          <w:szCs w:val="22"/>
        </w:rPr>
        <w:t xml:space="preserve">to be included in the Adult Hospital level STGs and EML, as currently management is guided by levels of care and relevant guidance </w:t>
      </w:r>
      <w:r w:rsidRPr="00AB3ADA">
        <w:rPr>
          <w:rFonts w:asciiTheme="minorHAnsi" w:hAnsiTheme="minorHAnsi" w:cstheme="minorHAnsi"/>
          <w:spacing w:val="-4"/>
          <w:sz w:val="22"/>
          <w:szCs w:val="22"/>
        </w:rPr>
        <w:lastRenderedPageBreak/>
        <w:t>should be included in the appropriate guidelines.</w:t>
      </w:r>
    </w:p>
    <w:p w:rsidR="00975C50" w:rsidRPr="00AB3ADA" w:rsidRDefault="00975C50" w:rsidP="00975C50">
      <w:pPr>
        <w:pStyle w:val="ListParagraph"/>
        <w:widowControl w:val="0"/>
        <w:autoSpaceDE w:val="0"/>
        <w:autoSpaceDN w:val="0"/>
        <w:adjustRightInd w:val="0"/>
        <w:ind w:left="0"/>
        <w:jc w:val="both"/>
        <w:rPr>
          <w:rFonts w:asciiTheme="minorHAnsi" w:hAnsiTheme="minorHAnsi" w:cstheme="minorHAnsi"/>
          <w:b/>
          <w:spacing w:val="-4"/>
          <w:sz w:val="22"/>
          <w:szCs w:val="22"/>
        </w:rPr>
      </w:pPr>
      <w:r w:rsidRPr="00AB3ADA">
        <w:rPr>
          <w:rFonts w:asciiTheme="minorHAnsi" w:hAnsiTheme="minorHAnsi" w:cstheme="minorHAnsi"/>
          <w:b/>
          <w:spacing w:val="-4"/>
          <w:sz w:val="22"/>
          <w:szCs w:val="22"/>
        </w:rPr>
        <w:t>Level of Evidence: III Expert opinion</w:t>
      </w:r>
    </w:p>
    <w:p w:rsidR="00975C50" w:rsidRPr="00AB3ADA" w:rsidRDefault="00975C50" w:rsidP="00100D69">
      <w:pPr>
        <w:spacing w:after="0" w:line="240" w:lineRule="auto"/>
        <w:jc w:val="both"/>
        <w:rPr>
          <w:rFonts w:cstheme="minorHAnsi"/>
          <w:b/>
        </w:rPr>
      </w:pPr>
    </w:p>
    <w:p w:rsidR="00535CC9" w:rsidRPr="00AB3ADA" w:rsidRDefault="00535CC9" w:rsidP="00535CC9">
      <w:pPr>
        <w:pStyle w:val="ListParagraph"/>
        <w:widowControl w:val="0"/>
        <w:autoSpaceDE w:val="0"/>
        <w:autoSpaceDN w:val="0"/>
        <w:adjustRightInd w:val="0"/>
        <w:ind w:left="0"/>
        <w:jc w:val="both"/>
        <w:rPr>
          <w:rFonts w:asciiTheme="minorHAnsi" w:hAnsiTheme="minorHAnsi" w:cstheme="minorHAnsi"/>
          <w:b/>
          <w:spacing w:val="-4"/>
          <w:sz w:val="22"/>
          <w:szCs w:val="22"/>
        </w:rPr>
      </w:pPr>
      <w:r w:rsidRPr="00AB3ADA">
        <w:rPr>
          <w:rFonts w:asciiTheme="minorHAnsi" w:hAnsiTheme="minorHAnsi" w:cstheme="minorHAnsi"/>
          <w:b/>
          <w:spacing w:val="-4"/>
          <w:sz w:val="22"/>
          <w:szCs w:val="22"/>
        </w:rPr>
        <w:t>Causative pathogens for STI syndromes</w:t>
      </w:r>
    </w:p>
    <w:p w:rsidR="00535CC9" w:rsidRPr="00AB3ADA" w:rsidRDefault="00535CC9" w:rsidP="00535CC9">
      <w:pPr>
        <w:pStyle w:val="ListParagraph"/>
        <w:widowControl w:val="0"/>
        <w:autoSpaceDE w:val="0"/>
        <w:autoSpaceDN w:val="0"/>
        <w:adjustRightInd w:val="0"/>
        <w:ind w:left="0"/>
        <w:jc w:val="both"/>
        <w:rPr>
          <w:rFonts w:asciiTheme="minorHAnsi" w:hAnsiTheme="minorHAnsi" w:cstheme="minorHAnsi"/>
          <w:spacing w:val="-4"/>
          <w:sz w:val="22"/>
          <w:szCs w:val="22"/>
        </w:rPr>
      </w:pPr>
      <w:r w:rsidRPr="00AB3ADA">
        <w:rPr>
          <w:rFonts w:asciiTheme="minorHAnsi" w:hAnsiTheme="minorHAnsi" w:cstheme="minorHAnsi"/>
          <w:spacing w:val="-4"/>
          <w:sz w:val="22"/>
          <w:szCs w:val="22"/>
        </w:rPr>
        <w:t xml:space="preserve">The following </w:t>
      </w:r>
      <w:r w:rsidR="00CB2F7F" w:rsidRPr="00AB3ADA">
        <w:rPr>
          <w:rFonts w:asciiTheme="minorHAnsi" w:hAnsiTheme="minorHAnsi" w:cstheme="minorHAnsi"/>
          <w:spacing w:val="-4"/>
          <w:sz w:val="22"/>
          <w:szCs w:val="22"/>
        </w:rPr>
        <w:t>summary</w:t>
      </w:r>
      <w:r w:rsidRPr="00AB3ADA">
        <w:rPr>
          <w:rFonts w:asciiTheme="minorHAnsi" w:hAnsiTheme="minorHAnsi" w:cstheme="minorHAnsi"/>
          <w:spacing w:val="-4"/>
          <w:sz w:val="22"/>
          <w:szCs w:val="22"/>
        </w:rPr>
        <w:t xml:space="preserve"> was included in the STG</w:t>
      </w:r>
      <w:r w:rsidR="00CB2F7F" w:rsidRPr="00AB3ADA">
        <w:rPr>
          <w:rFonts w:asciiTheme="minorHAnsi" w:hAnsiTheme="minorHAnsi" w:cstheme="minorHAnsi"/>
          <w:spacing w:val="-4"/>
          <w:sz w:val="22"/>
          <w:szCs w:val="22"/>
        </w:rPr>
        <w:t xml:space="preserve"> to assist the healthcare worker</w:t>
      </w:r>
      <w:r w:rsidRPr="00AB3ADA">
        <w:rPr>
          <w:rFonts w:asciiTheme="minorHAnsi" w:hAnsiTheme="minorHAnsi" w:cstheme="minorHAnsi"/>
          <w:spacing w:val="-4"/>
          <w:sz w:val="22"/>
          <w:szCs w:val="22"/>
        </w:rPr>
        <w:t>:</w:t>
      </w:r>
    </w:p>
    <w:tbl>
      <w:tblPr>
        <w:tblStyle w:val="TableGrid"/>
        <w:tblW w:w="0" w:type="auto"/>
        <w:tblLook w:val="04A0"/>
      </w:tblPr>
      <w:tblGrid>
        <w:gridCol w:w="9242"/>
      </w:tblGrid>
      <w:tr w:rsidR="00535CC9" w:rsidRPr="00AB3ADA" w:rsidTr="00392243">
        <w:tc>
          <w:tcPr>
            <w:tcW w:w="9242" w:type="dxa"/>
          </w:tcPr>
          <w:tbl>
            <w:tblPr>
              <w:tblStyle w:val="TableGrid"/>
              <w:tblW w:w="5000" w:type="pct"/>
              <w:tblLook w:val="04A0"/>
            </w:tblPr>
            <w:tblGrid>
              <w:gridCol w:w="3423"/>
              <w:gridCol w:w="2189"/>
              <w:gridCol w:w="3404"/>
            </w:tblGrid>
            <w:tr w:rsidR="00535CC9" w:rsidRPr="00AB3ADA" w:rsidTr="00392243">
              <w:tc>
                <w:tcPr>
                  <w:tcW w:w="1898" w:type="pct"/>
                  <w:shd w:val="clear" w:color="auto" w:fill="D9D9D9" w:themeFill="background1" w:themeFillShade="D9"/>
                </w:tcPr>
                <w:p w:rsidR="00535CC9" w:rsidRPr="00AB3ADA" w:rsidRDefault="00535CC9" w:rsidP="00392243">
                  <w:pPr>
                    <w:jc w:val="both"/>
                    <w:rPr>
                      <w:rFonts w:asciiTheme="minorHAnsi" w:hAnsiTheme="minorHAnsi" w:cstheme="minorHAnsi"/>
                      <w:b/>
                      <w:sz w:val="22"/>
                      <w:szCs w:val="22"/>
                    </w:rPr>
                  </w:pPr>
                  <w:r w:rsidRPr="00AB3ADA">
                    <w:rPr>
                      <w:rFonts w:asciiTheme="minorHAnsi" w:hAnsiTheme="minorHAnsi" w:cstheme="minorHAnsi"/>
                      <w:b/>
                      <w:sz w:val="22"/>
                      <w:szCs w:val="22"/>
                    </w:rPr>
                    <w:t>ORGANISM</w:t>
                  </w:r>
                </w:p>
              </w:tc>
              <w:tc>
                <w:tcPr>
                  <w:tcW w:w="1214" w:type="pct"/>
                  <w:shd w:val="clear" w:color="auto" w:fill="D9D9D9" w:themeFill="background1" w:themeFillShade="D9"/>
                </w:tcPr>
                <w:p w:rsidR="00535CC9" w:rsidRPr="00AB3ADA" w:rsidRDefault="00535CC9" w:rsidP="00392243">
                  <w:pPr>
                    <w:jc w:val="both"/>
                    <w:rPr>
                      <w:rFonts w:asciiTheme="minorHAnsi" w:hAnsiTheme="minorHAnsi" w:cstheme="minorHAnsi"/>
                      <w:b/>
                      <w:sz w:val="22"/>
                      <w:szCs w:val="22"/>
                    </w:rPr>
                  </w:pPr>
                  <w:r w:rsidRPr="00AB3ADA">
                    <w:rPr>
                      <w:rFonts w:asciiTheme="minorHAnsi" w:hAnsiTheme="minorHAnsi" w:cstheme="minorHAnsi"/>
                      <w:b/>
                      <w:sz w:val="22"/>
                      <w:szCs w:val="22"/>
                    </w:rPr>
                    <w:t xml:space="preserve">SYDROME/S </w:t>
                  </w:r>
                </w:p>
              </w:tc>
              <w:tc>
                <w:tcPr>
                  <w:tcW w:w="1888" w:type="pct"/>
                  <w:shd w:val="clear" w:color="auto" w:fill="D9D9D9" w:themeFill="background1" w:themeFillShade="D9"/>
                </w:tcPr>
                <w:p w:rsidR="00535CC9" w:rsidRPr="00AB3ADA" w:rsidRDefault="00535CC9" w:rsidP="00392243">
                  <w:pPr>
                    <w:jc w:val="both"/>
                    <w:rPr>
                      <w:rFonts w:asciiTheme="minorHAnsi" w:hAnsiTheme="minorHAnsi" w:cstheme="minorHAnsi"/>
                      <w:b/>
                      <w:sz w:val="22"/>
                      <w:szCs w:val="22"/>
                    </w:rPr>
                  </w:pPr>
                  <w:r w:rsidRPr="00AB3ADA">
                    <w:rPr>
                      <w:rFonts w:asciiTheme="minorHAnsi" w:hAnsiTheme="minorHAnsi" w:cstheme="minorHAnsi"/>
                      <w:b/>
                      <w:sz w:val="22"/>
                      <w:szCs w:val="22"/>
                    </w:rPr>
                    <w:t>MEDICINE MANAGEMENT</w:t>
                  </w:r>
                </w:p>
              </w:tc>
            </w:tr>
            <w:tr w:rsidR="00535CC9" w:rsidRPr="00AB3ADA" w:rsidTr="00392243">
              <w:tc>
                <w:tcPr>
                  <w:tcW w:w="1898" w:type="pct"/>
                </w:tcPr>
                <w:p w:rsidR="00535CC9" w:rsidRPr="00AB3ADA" w:rsidRDefault="00535CC9" w:rsidP="00392243">
                  <w:pPr>
                    <w:jc w:val="both"/>
                    <w:rPr>
                      <w:rFonts w:asciiTheme="minorHAnsi" w:hAnsiTheme="minorHAnsi" w:cstheme="minorHAnsi"/>
                      <w:i/>
                      <w:sz w:val="22"/>
                      <w:szCs w:val="22"/>
                    </w:rPr>
                  </w:pPr>
                  <w:r w:rsidRPr="00AB3ADA">
                    <w:rPr>
                      <w:rFonts w:asciiTheme="minorHAnsi" w:hAnsiTheme="minorHAnsi" w:cstheme="minorHAnsi"/>
                      <w:i/>
                      <w:sz w:val="22"/>
                      <w:szCs w:val="22"/>
                    </w:rPr>
                    <w:t>Neisseria gonorrhoeae</w:t>
                  </w:r>
                </w:p>
              </w:tc>
              <w:tc>
                <w:tcPr>
                  <w:tcW w:w="1214"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VDS, MUS, LAP</w:t>
                  </w:r>
                </w:p>
              </w:tc>
              <w:tc>
                <w:tcPr>
                  <w:tcW w:w="1888"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ceftriaxone + azithromycin</w:t>
                  </w:r>
                </w:p>
              </w:tc>
            </w:tr>
            <w:tr w:rsidR="00535CC9" w:rsidRPr="00AB3ADA" w:rsidTr="00392243">
              <w:tc>
                <w:tcPr>
                  <w:tcW w:w="1898" w:type="pct"/>
                </w:tcPr>
                <w:p w:rsidR="00535CC9" w:rsidRPr="00AB3ADA" w:rsidRDefault="00535CC9" w:rsidP="00392243">
                  <w:pPr>
                    <w:jc w:val="both"/>
                    <w:rPr>
                      <w:rFonts w:asciiTheme="minorHAnsi" w:hAnsiTheme="minorHAnsi" w:cstheme="minorHAnsi"/>
                      <w:i/>
                      <w:sz w:val="22"/>
                      <w:szCs w:val="22"/>
                    </w:rPr>
                  </w:pPr>
                  <w:r w:rsidRPr="00AB3ADA">
                    <w:rPr>
                      <w:rFonts w:asciiTheme="minorHAnsi" w:hAnsiTheme="minorHAnsi" w:cstheme="minorHAnsi"/>
                      <w:i/>
                      <w:sz w:val="22"/>
                      <w:szCs w:val="22"/>
                    </w:rPr>
                    <w:t>Chlamydia trachomatis</w:t>
                  </w:r>
                </w:p>
              </w:tc>
              <w:tc>
                <w:tcPr>
                  <w:tcW w:w="1214"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VDS, MUS, LAP</w:t>
                  </w:r>
                </w:p>
              </w:tc>
              <w:tc>
                <w:tcPr>
                  <w:tcW w:w="1888"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azithromycin</w:t>
                  </w:r>
                </w:p>
              </w:tc>
            </w:tr>
            <w:tr w:rsidR="00535CC9" w:rsidRPr="00AB3ADA" w:rsidTr="00392243">
              <w:tc>
                <w:tcPr>
                  <w:tcW w:w="1898" w:type="pct"/>
                </w:tcPr>
                <w:p w:rsidR="00535CC9" w:rsidRPr="00AB3ADA" w:rsidRDefault="00535CC9" w:rsidP="00392243">
                  <w:pPr>
                    <w:jc w:val="both"/>
                    <w:rPr>
                      <w:rFonts w:asciiTheme="minorHAnsi" w:hAnsiTheme="minorHAnsi" w:cstheme="minorHAnsi"/>
                      <w:i/>
                      <w:sz w:val="22"/>
                      <w:szCs w:val="22"/>
                    </w:rPr>
                  </w:pPr>
                  <w:r w:rsidRPr="00AB3ADA">
                    <w:rPr>
                      <w:rFonts w:asciiTheme="minorHAnsi" w:hAnsiTheme="minorHAnsi" w:cstheme="minorHAnsi"/>
                      <w:i/>
                      <w:sz w:val="22"/>
                      <w:szCs w:val="22"/>
                    </w:rPr>
                    <w:t>Trichomonas vaginalis</w:t>
                  </w:r>
                </w:p>
              </w:tc>
              <w:tc>
                <w:tcPr>
                  <w:tcW w:w="1214"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VDS, LAP</w:t>
                  </w:r>
                </w:p>
              </w:tc>
              <w:tc>
                <w:tcPr>
                  <w:tcW w:w="1888"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metronidazole</w:t>
                  </w:r>
                </w:p>
              </w:tc>
            </w:tr>
            <w:tr w:rsidR="00535CC9" w:rsidRPr="00AB3ADA" w:rsidTr="00392243">
              <w:tc>
                <w:tcPr>
                  <w:tcW w:w="1898"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i/>
                      <w:sz w:val="22"/>
                      <w:szCs w:val="22"/>
                    </w:rPr>
                    <w:t>Bacterial vaginosis</w:t>
                  </w:r>
                  <w:r w:rsidRPr="00AB3ADA">
                    <w:rPr>
                      <w:rFonts w:asciiTheme="minorHAnsi" w:hAnsiTheme="minorHAnsi" w:cstheme="minorHAnsi"/>
                      <w:sz w:val="22"/>
                      <w:szCs w:val="22"/>
                    </w:rPr>
                    <w:t xml:space="preserve"> (overgrowth of Gardnerella vaginalis, lactobacillus, anaerobes etc)</w:t>
                  </w:r>
                </w:p>
              </w:tc>
              <w:tc>
                <w:tcPr>
                  <w:tcW w:w="1214"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VDS</w:t>
                  </w:r>
                </w:p>
              </w:tc>
              <w:tc>
                <w:tcPr>
                  <w:tcW w:w="1888"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metronidazole</w:t>
                  </w:r>
                </w:p>
              </w:tc>
            </w:tr>
            <w:tr w:rsidR="00535CC9" w:rsidRPr="00AB3ADA" w:rsidTr="00392243">
              <w:tc>
                <w:tcPr>
                  <w:tcW w:w="1898" w:type="pct"/>
                </w:tcPr>
                <w:p w:rsidR="00535CC9" w:rsidRPr="00AB3ADA" w:rsidRDefault="00535CC9" w:rsidP="00392243">
                  <w:pPr>
                    <w:jc w:val="both"/>
                    <w:rPr>
                      <w:rFonts w:asciiTheme="minorHAnsi" w:hAnsiTheme="minorHAnsi" w:cstheme="minorHAnsi"/>
                      <w:i/>
                      <w:sz w:val="22"/>
                      <w:szCs w:val="22"/>
                    </w:rPr>
                  </w:pPr>
                  <w:r w:rsidRPr="00AB3ADA">
                    <w:rPr>
                      <w:rFonts w:asciiTheme="minorHAnsi" w:hAnsiTheme="minorHAnsi" w:cstheme="minorHAnsi"/>
                      <w:i/>
                      <w:sz w:val="22"/>
                      <w:szCs w:val="22"/>
                    </w:rPr>
                    <w:t>Candida albicans</w:t>
                  </w:r>
                </w:p>
              </w:tc>
              <w:tc>
                <w:tcPr>
                  <w:tcW w:w="1214"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VDS</w:t>
                  </w:r>
                </w:p>
              </w:tc>
              <w:tc>
                <w:tcPr>
                  <w:tcW w:w="1888"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clotrimazole</w:t>
                  </w:r>
                </w:p>
              </w:tc>
            </w:tr>
            <w:tr w:rsidR="00535CC9" w:rsidRPr="00AB3ADA" w:rsidTr="00392243">
              <w:tc>
                <w:tcPr>
                  <w:tcW w:w="1898" w:type="pct"/>
                </w:tcPr>
                <w:p w:rsidR="00535CC9" w:rsidRPr="00AB3ADA" w:rsidRDefault="00535CC9" w:rsidP="00392243">
                  <w:pPr>
                    <w:jc w:val="both"/>
                    <w:rPr>
                      <w:rFonts w:asciiTheme="minorHAnsi" w:hAnsiTheme="minorHAnsi" w:cstheme="minorHAnsi"/>
                      <w:i/>
                      <w:sz w:val="22"/>
                      <w:szCs w:val="22"/>
                    </w:rPr>
                  </w:pPr>
                  <w:r w:rsidRPr="00AB3ADA">
                    <w:rPr>
                      <w:rFonts w:asciiTheme="minorHAnsi" w:hAnsiTheme="minorHAnsi" w:cstheme="minorHAnsi"/>
                      <w:i/>
                      <w:sz w:val="22"/>
                      <w:szCs w:val="22"/>
                    </w:rPr>
                    <w:t>Treponema pallidum</w:t>
                  </w:r>
                </w:p>
              </w:tc>
              <w:tc>
                <w:tcPr>
                  <w:tcW w:w="1214"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GUS</w:t>
                  </w:r>
                </w:p>
              </w:tc>
              <w:tc>
                <w:tcPr>
                  <w:tcW w:w="1888" w:type="pct"/>
                </w:tcPr>
                <w:p w:rsidR="00535CC9" w:rsidRPr="00AB3ADA" w:rsidRDefault="00DE3F6A" w:rsidP="00392243">
                  <w:pPr>
                    <w:jc w:val="both"/>
                    <w:rPr>
                      <w:rFonts w:asciiTheme="minorHAnsi" w:hAnsiTheme="minorHAnsi" w:cstheme="minorHAnsi"/>
                      <w:sz w:val="22"/>
                      <w:szCs w:val="22"/>
                    </w:rPr>
                  </w:pPr>
                  <w:r w:rsidRPr="00AB3ADA">
                    <w:rPr>
                      <w:rFonts w:asciiTheme="minorHAnsi" w:hAnsiTheme="minorHAnsi" w:cstheme="minorHAnsi"/>
                      <w:sz w:val="22"/>
                      <w:szCs w:val="22"/>
                    </w:rPr>
                    <w:t>doxycyline/</w:t>
                  </w:r>
                  <w:r w:rsidR="00535CC9" w:rsidRPr="00AB3ADA">
                    <w:rPr>
                      <w:rFonts w:asciiTheme="minorHAnsi" w:hAnsiTheme="minorHAnsi" w:cstheme="minorHAnsi"/>
                      <w:sz w:val="22"/>
                      <w:szCs w:val="22"/>
                    </w:rPr>
                    <w:t>benzathine penicillin</w:t>
                  </w:r>
                </w:p>
              </w:tc>
            </w:tr>
            <w:tr w:rsidR="00535CC9" w:rsidRPr="00AB3ADA" w:rsidTr="00392243">
              <w:tc>
                <w:tcPr>
                  <w:tcW w:w="1898" w:type="pct"/>
                </w:tcPr>
                <w:p w:rsidR="00535CC9" w:rsidRPr="00AB3ADA" w:rsidRDefault="00535CC9" w:rsidP="00392243">
                  <w:pPr>
                    <w:jc w:val="both"/>
                    <w:rPr>
                      <w:rFonts w:asciiTheme="minorHAnsi" w:hAnsiTheme="minorHAnsi" w:cstheme="minorHAnsi"/>
                      <w:i/>
                      <w:sz w:val="22"/>
                      <w:szCs w:val="22"/>
                    </w:rPr>
                  </w:pPr>
                  <w:r w:rsidRPr="00AB3ADA">
                    <w:rPr>
                      <w:rFonts w:asciiTheme="minorHAnsi" w:hAnsiTheme="minorHAnsi" w:cstheme="minorHAnsi"/>
                      <w:i/>
                      <w:sz w:val="22"/>
                      <w:szCs w:val="22"/>
                    </w:rPr>
                    <w:t>Herpes simplex</w:t>
                  </w:r>
                </w:p>
              </w:tc>
              <w:tc>
                <w:tcPr>
                  <w:tcW w:w="1214"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GUS</w:t>
                  </w:r>
                </w:p>
              </w:tc>
              <w:tc>
                <w:tcPr>
                  <w:tcW w:w="1888"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aciclovir</w:t>
                  </w:r>
                </w:p>
              </w:tc>
            </w:tr>
            <w:tr w:rsidR="00535CC9" w:rsidRPr="00AB3ADA" w:rsidTr="00392243">
              <w:tc>
                <w:tcPr>
                  <w:tcW w:w="1898" w:type="pct"/>
                </w:tcPr>
                <w:p w:rsidR="00535CC9" w:rsidRPr="00AB3ADA" w:rsidRDefault="00535CC9" w:rsidP="00392243">
                  <w:pPr>
                    <w:jc w:val="both"/>
                    <w:rPr>
                      <w:rFonts w:asciiTheme="minorHAnsi" w:hAnsiTheme="minorHAnsi" w:cstheme="minorHAnsi"/>
                      <w:i/>
                      <w:sz w:val="22"/>
                      <w:szCs w:val="22"/>
                    </w:rPr>
                  </w:pPr>
                  <w:r w:rsidRPr="00AB3ADA">
                    <w:rPr>
                      <w:rFonts w:asciiTheme="minorHAnsi" w:hAnsiTheme="minorHAnsi" w:cstheme="minorHAnsi"/>
                      <w:i/>
                      <w:sz w:val="22"/>
                      <w:szCs w:val="22"/>
                    </w:rPr>
                    <w:t>Haemophilus ducreyi</w:t>
                  </w:r>
                </w:p>
              </w:tc>
              <w:tc>
                <w:tcPr>
                  <w:tcW w:w="1214"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GUS</w:t>
                  </w:r>
                </w:p>
              </w:tc>
              <w:tc>
                <w:tcPr>
                  <w:tcW w:w="1888"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azithromycin</w:t>
                  </w:r>
                </w:p>
              </w:tc>
            </w:tr>
            <w:tr w:rsidR="00535CC9" w:rsidRPr="00AB3ADA" w:rsidTr="00392243">
              <w:tc>
                <w:tcPr>
                  <w:tcW w:w="1898" w:type="pct"/>
                </w:tcPr>
                <w:p w:rsidR="00535CC9" w:rsidRPr="00AB3ADA" w:rsidRDefault="00535CC9" w:rsidP="00392243">
                  <w:pPr>
                    <w:jc w:val="both"/>
                    <w:rPr>
                      <w:rFonts w:asciiTheme="minorHAnsi" w:hAnsiTheme="minorHAnsi" w:cstheme="minorHAnsi"/>
                      <w:i/>
                      <w:sz w:val="22"/>
                      <w:szCs w:val="22"/>
                    </w:rPr>
                  </w:pPr>
                  <w:r w:rsidRPr="00AB3ADA">
                    <w:rPr>
                      <w:rFonts w:asciiTheme="minorHAnsi" w:hAnsiTheme="minorHAnsi" w:cstheme="minorHAnsi"/>
                      <w:i/>
                      <w:sz w:val="22"/>
                      <w:szCs w:val="22"/>
                    </w:rPr>
                    <w:t>Lymphogranuloma venereum</w:t>
                  </w:r>
                </w:p>
              </w:tc>
              <w:tc>
                <w:tcPr>
                  <w:tcW w:w="1214"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Bubo</w:t>
                  </w:r>
                </w:p>
              </w:tc>
              <w:tc>
                <w:tcPr>
                  <w:tcW w:w="1888" w:type="pct"/>
                </w:tcPr>
                <w:p w:rsidR="00535CC9" w:rsidRPr="00AB3ADA" w:rsidRDefault="00535CC9" w:rsidP="00392243">
                  <w:pPr>
                    <w:jc w:val="both"/>
                    <w:rPr>
                      <w:rFonts w:asciiTheme="minorHAnsi" w:hAnsiTheme="minorHAnsi" w:cstheme="minorHAnsi"/>
                      <w:sz w:val="22"/>
                      <w:szCs w:val="22"/>
                    </w:rPr>
                  </w:pPr>
                  <w:r w:rsidRPr="00AB3ADA">
                    <w:rPr>
                      <w:rFonts w:asciiTheme="minorHAnsi" w:hAnsiTheme="minorHAnsi" w:cstheme="minorHAnsi"/>
                      <w:sz w:val="22"/>
                      <w:szCs w:val="22"/>
                    </w:rPr>
                    <w:t>azithromycin</w:t>
                  </w:r>
                </w:p>
              </w:tc>
            </w:tr>
          </w:tbl>
          <w:p w:rsidR="00535CC9" w:rsidRPr="00AB3ADA" w:rsidRDefault="00535CC9" w:rsidP="00392243">
            <w:pPr>
              <w:pStyle w:val="ListParagraph"/>
              <w:widowControl w:val="0"/>
              <w:autoSpaceDE w:val="0"/>
              <w:autoSpaceDN w:val="0"/>
              <w:adjustRightInd w:val="0"/>
              <w:ind w:left="0"/>
              <w:jc w:val="both"/>
              <w:rPr>
                <w:rFonts w:asciiTheme="minorHAnsi" w:hAnsiTheme="minorHAnsi" w:cstheme="minorHAnsi"/>
                <w:spacing w:val="-4"/>
                <w:sz w:val="22"/>
                <w:szCs w:val="22"/>
              </w:rPr>
            </w:pPr>
          </w:p>
        </w:tc>
      </w:tr>
    </w:tbl>
    <w:p w:rsidR="00535CC9" w:rsidRPr="00AB3ADA" w:rsidRDefault="00535CC9" w:rsidP="00100D69">
      <w:pPr>
        <w:spacing w:after="0" w:line="240" w:lineRule="auto"/>
        <w:jc w:val="both"/>
        <w:rPr>
          <w:rFonts w:cstheme="minorHAnsi"/>
          <w:b/>
        </w:rPr>
      </w:pPr>
    </w:p>
    <w:p w:rsidR="00535CC9" w:rsidRPr="00AB3ADA" w:rsidRDefault="00392243" w:rsidP="00D44000">
      <w:pPr>
        <w:pStyle w:val="CommentText"/>
        <w:widowControl w:val="0"/>
        <w:tabs>
          <w:tab w:val="left" w:pos="567"/>
        </w:tabs>
        <w:rPr>
          <w:rFonts w:asciiTheme="minorHAnsi" w:hAnsiTheme="minorHAnsi" w:cstheme="minorHAnsi"/>
          <w:b/>
          <w:sz w:val="22"/>
          <w:szCs w:val="22"/>
        </w:rPr>
      </w:pPr>
      <w:r w:rsidRPr="00AB3ADA">
        <w:rPr>
          <w:rFonts w:asciiTheme="minorHAnsi" w:hAnsiTheme="minorHAnsi" w:cstheme="minorHAnsi"/>
          <w:b/>
          <w:sz w:val="22"/>
          <w:szCs w:val="22"/>
        </w:rPr>
        <w:t>Point of care testing</w:t>
      </w:r>
    </w:p>
    <w:p w:rsidR="00F07A70" w:rsidRPr="00AB3ADA" w:rsidRDefault="00F07A70" w:rsidP="00F07A70">
      <w:pPr>
        <w:pStyle w:val="CommentText"/>
        <w:widowControl w:val="0"/>
        <w:tabs>
          <w:tab w:val="left" w:pos="567"/>
        </w:tabs>
        <w:jc w:val="both"/>
        <w:rPr>
          <w:rFonts w:asciiTheme="minorHAnsi" w:hAnsiTheme="minorHAnsi" w:cstheme="minorHAnsi"/>
          <w:spacing w:val="-4"/>
          <w:sz w:val="22"/>
          <w:szCs w:val="22"/>
        </w:rPr>
      </w:pPr>
      <w:r w:rsidRPr="00AB3ADA">
        <w:rPr>
          <w:rFonts w:asciiTheme="minorHAnsi" w:hAnsiTheme="minorHAnsi" w:cstheme="minorHAnsi"/>
          <w:spacing w:val="-4"/>
          <w:sz w:val="22"/>
          <w:szCs w:val="22"/>
        </w:rPr>
        <w:t xml:space="preserve">Rapid diagnostic testing of STIs was not currently being implemented by the NDoH STI Programme. The tests need to be validated for use in the clinic setting prior to national implementation; and a proficiency testing scheme must be developed for quality assurance of results at participating clinics.  </w:t>
      </w:r>
    </w:p>
    <w:p w:rsidR="00F07A70" w:rsidRPr="00AB3ADA" w:rsidRDefault="00F07A70" w:rsidP="00D44000">
      <w:pPr>
        <w:pStyle w:val="CommentText"/>
        <w:widowControl w:val="0"/>
        <w:tabs>
          <w:tab w:val="left" w:pos="567"/>
        </w:tabs>
        <w:rPr>
          <w:rFonts w:asciiTheme="minorHAnsi" w:hAnsiTheme="minorHAnsi" w:cstheme="minorHAnsi"/>
          <w:b/>
          <w:sz w:val="22"/>
          <w:szCs w:val="22"/>
        </w:rPr>
      </w:pPr>
    </w:p>
    <w:p w:rsidR="00535CC9" w:rsidRPr="00AB3ADA" w:rsidRDefault="00535CC9" w:rsidP="00D44000">
      <w:pPr>
        <w:pStyle w:val="CommentText"/>
        <w:widowControl w:val="0"/>
        <w:tabs>
          <w:tab w:val="left" w:pos="567"/>
        </w:tabs>
        <w:rPr>
          <w:rFonts w:asciiTheme="minorHAnsi" w:hAnsiTheme="minorHAnsi" w:cstheme="minorHAnsi"/>
          <w:b/>
          <w:sz w:val="22"/>
          <w:szCs w:val="22"/>
        </w:rPr>
      </w:pPr>
      <w:r w:rsidRPr="00AB3ADA">
        <w:rPr>
          <w:rFonts w:asciiTheme="minorHAnsi" w:hAnsiTheme="minorHAnsi" w:cstheme="minorHAnsi"/>
          <w:b/>
          <w:sz w:val="22"/>
          <w:szCs w:val="22"/>
        </w:rPr>
        <w:t>TREATMENT OF PARTNERS</w:t>
      </w:r>
    </w:p>
    <w:p w:rsidR="00535CC9" w:rsidRPr="00AB3ADA" w:rsidRDefault="00535CC9" w:rsidP="00D44000">
      <w:pPr>
        <w:pStyle w:val="CommentText"/>
        <w:widowControl w:val="0"/>
        <w:tabs>
          <w:tab w:val="left" w:pos="567"/>
        </w:tabs>
        <w:rPr>
          <w:rFonts w:asciiTheme="minorHAnsi" w:hAnsiTheme="minorHAnsi" w:cstheme="minorHAnsi"/>
          <w:sz w:val="22"/>
          <w:szCs w:val="22"/>
        </w:rPr>
      </w:pPr>
      <w:r w:rsidRPr="00AB3ADA">
        <w:rPr>
          <w:rFonts w:asciiTheme="minorHAnsi" w:hAnsiTheme="minorHAnsi" w:cstheme="minorHAnsi"/>
          <w:sz w:val="22"/>
          <w:szCs w:val="22"/>
          <w:u w:val="single"/>
        </w:rPr>
        <w:t>Ceftriaxone, 250 mg, IM</w:t>
      </w:r>
      <w:r w:rsidRPr="00AB3ADA">
        <w:rPr>
          <w:rFonts w:asciiTheme="minorHAnsi" w:hAnsiTheme="minorHAnsi" w:cstheme="minorHAnsi"/>
          <w:sz w:val="22"/>
          <w:szCs w:val="22"/>
        </w:rPr>
        <w:t xml:space="preserve">: </w:t>
      </w:r>
      <w:r w:rsidRPr="00AB3ADA">
        <w:rPr>
          <w:rFonts w:asciiTheme="minorHAnsi" w:hAnsiTheme="minorHAnsi" w:cstheme="minorHAnsi"/>
          <w:i/>
          <w:sz w:val="22"/>
          <w:szCs w:val="22"/>
        </w:rPr>
        <w:t>added</w:t>
      </w:r>
    </w:p>
    <w:p w:rsidR="00535CC9" w:rsidRPr="00AB3ADA" w:rsidRDefault="000A6B2C" w:rsidP="00D44000">
      <w:pPr>
        <w:pStyle w:val="CommentText"/>
        <w:widowControl w:val="0"/>
        <w:tabs>
          <w:tab w:val="left" w:pos="567"/>
        </w:tabs>
        <w:rPr>
          <w:rFonts w:asciiTheme="minorHAnsi" w:hAnsiTheme="minorHAnsi" w:cstheme="minorHAnsi"/>
          <w:sz w:val="22"/>
          <w:szCs w:val="22"/>
        </w:rPr>
      </w:pPr>
      <w:r w:rsidRPr="00AB3ADA">
        <w:rPr>
          <w:rFonts w:asciiTheme="minorHAnsi" w:hAnsiTheme="minorHAnsi" w:cstheme="minorHAnsi"/>
          <w:sz w:val="22"/>
          <w:szCs w:val="22"/>
          <w:u w:val="single"/>
        </w:rPr>
        <w:t>Azithromycin, 1 g, oral</w:t>
      </w:r>
      <w:r w:rsidRPr="00AB3ADA">
        <w:rPr>
          <w:rFonts w:asciiTheme="minorHAnsi" w:hAnsiTheme="minorHAnsi" w:cstheme="minorHAnsi"/>
          <w:sz w:val="22"/>
          <w:szCs w:val="22"/>
        </w:rPr>
        <w:t>:</w:t>
      </w:r>
      <w:r w:rsidR="00AB3ADA" w:rsidRPr="00AB3ADA">
        <w:rPr>
          <w:rFonts w:asciiTheme="minorHAnsi" w:hAnsiTheme="minorHAnsi" w:cstheme="minorHAnsi"/>
          <w:sz w:val="22"/>
          <w:szCs w:val="22"/>
        </w:rPr>
        <w:t xml:space="preserve"> </w:t>
      </w:r>
      <w:r w:rsidR="00535CC9" w:rsidRPr="00AB3ADA">
        <w:rPr>
          <w:rFonts w:asciiTheme="minorHAnsi" w:hAnsiTheme="minorHAnsi" w:cstheme="minorHAnsi"/>
          <w:i/>
          <w:sz w:val="22"/>
          <w:szCs w:val="22"/>
        </w:rPr>
        <w:t>added</w:t>
      </w:r>
    </w:p>
    <w:p w:rsidR="00535CC9" w:rsidRPr="00AB3ADA" w:rsidRDefault="00535CC9" w:rsidP="00D44000">
      <w:pPr>
        <w:pStyle w:val="CommentText"/>
        <w:widowControl w:val="0"/>
        <w:tabs>
          <w:tab w:val="left" w:pos="567"/>
        </w:tabs>
        <w:rPr>
          <w:rFonts w:asciiTheme="minorHAnsi" w:hAnsiTheme="minorHAnsi" w:cstheme="minorHAnsi"/>
          <w:sz w:val="22"/>
          <w:szCs w:val="22"/>
        </w:rPr>
      </w:pPr>
      <w:r w:rsidRPr="00AB3ADA">
        <w:rPr>
          <w:rFonts w:asciiTheme="minorHAnsi" w:hAnsiTheme="minorHAnsi" w:cstheme="minorHAnsi"/>
          <w:sz w:val="22"/>
          <w:szCs w:val="22"/>
          <w:u w:val="single"/>
        </w:rPr>
        <w:t>Metronidazole, 2g, oral:</w:t>
      </w:r>
      <w:r w:rsidR="00AB3ADA" w:rsidRPr="00AB3ADA">
        <w:rPr>
          <w:rFonts w:asciiTheme="minorHAnsi" w:hAnsiTheme="minorHAnsi" w:cstheme="minorHAnsi"/>
          <w:sz w:val="22"/>
          <w:szCs w:val="22"/>
          <w:u w:val="single"/>
        </w:rPr>
        <w:t xml:space="preserve"> </w:t>
      </w:r>
      <w:r w:rsidRPr="00AB3ADA">
        <w:rPr>
          <w:rFonts w:asciiTheme="minorHAnsi" w:hAnsiTheme="minorHAnsi" w:cstheme="minorHAnsi"/>
          <w:i/>
          <w:sz w:val="22"/>
          <w:szCs w:val="22"/>
        </w:rPr>
        <w:t>added</w:t>
      </w:r>
    </w:p>
    <w:p w:rsidR="00DE3F6A" w:rsidRPr="00AB3ADA" w:rsidRDefault="00DE3F6A" w:rsidP="00D44000">
      <w:pPr>
        <w:pStyle w:val="CommentText"/>
        <w:widowControl w:val="0"/>
        <w:tabs>
          <w:tab w:val="left" w:pos="567"/>
        </w:tabs>
        <w:rPr>
          <w:rFonts w:asciiTheme="minorHAnsi" w:hAnsiTheme="minorHAnsi" w:cstheme="minorHAnsi"/>
          <w:sz w:val="22"/>
          <w:szCs w:val="22"/>
          <w:u w:val="single"/>
        </w:rPr>
      </w:pPr>
      <w:r w:rsidRPr="00AB3ADA">
        <w:rPr>
          <w:rFonts w:asciiTheme="minorHAnsi" w:hAnsiTheme="minorHAnsi" w:cstheme="minorHAnsi"/>
          <w:sz w:val="22"/>
          <w:szCs w:val="22"/>
          <w:u w:val="single"/>
        </w:rPr>
        <w:t>Doxycyline, oral:</w:t>
      </w:r>
      <w:r w:rsidRPr="00AB3ADA">
        <w:rPr>
          <w:rFonts w:asciiTheme="minorHAnsi" w:hAnsiTheme="minorHAnsi" w:cstheme="minorHAnsi"/>
          <w:i/>
          <w:sz w:val="22"/>
          <w:szCs w:val="22"/>
        </w:rPr>
        <w:t xml:space="preserve"> added</w:t>
      </w:r>
    </w:p>
    <w:p w:rsidR="00535CC9" w:rsidRPr="00AB3ADA" w:rsidRDefault="000A6B2C" w:rsidP="00D44000">
      <w:pPr>
        <w:pStyle w:val="CommentText"/>
        <w:widowControl w:val="0"/>
        <w:tabs>
          <w:tab w:val="left" w:pos="567"/>
        </w:tabs>
        <w:rPr>
          <w:rFonts w:asciiTheme="minorHAnsi" w:hAnsiTheme="minorHAnsi" w:cstheme="minorHAnsi"/>
          <w:sz w:val="22"/>
          <w:szCs w:val="22"/>
        </w:rPr>
      </w:pPr>
      <w:r w:rsidRPr="00AB3ADA">
        <w:rPr>
          <w:rFonts w:asciiTheme="minorHAnsi" w:hAnsiTheme="minorHAnsi" w:cstheme="minorHAnsi"/>
          <w:sz w:val="22"/>
          <w:szCs w:val="22"/>
          <w:u w:val="single"/>
        </w:rPr>
        <w:t>Benzath</w:t>
      </w:r>
      <w:r w:rsidR="00535CC9" w:rsidRPr="00AB3ADA">
        <w:rPr>
          <w:rFonts w:asciiTheme="minorHAnsi" w:hAnsiTheme="minorHAnsi" w:cstheme="minorHAnsi"/>
          <w:sz w:val="22"/>
          <w:szCs w:val="22"/>
          <w:u w:val="single"/>
        </w:rPr>
        <w:t>ine benzylpenicillin, IM 2.4MU</w:t>
      </w:r>
      <w:r w:rsidR="00535CC9" w:rsidRPr="00AB3ADA">
        <w:rPr>
          <w:rFonts w:asciiTheme="minorHAnsi" w:hAnsiTheme="minorHAnsi" w:cstheme="minorHAnsi"/>
          <w:sz w:val="22"/>
          <w:szCs w:val="22"/>
        </w:rPr>
        <w:t xml:space="preserve">: </w:t>
      </w:r>
      <w:r w:rsidR="00535CC9" w:rsidRPr="00AB3ADA">
        <w:rPr>
          <w:rFonts w:asciiTheme="minorHAnsi" w:hAnsiTheme="minorHAnsi" w:cstheme="minorHAnsi"/>
          <w:i/>
          <w:sz w:val="22"/>
          <w:szCs w:val="22"/>
        </w:rPr>
        <w:t>added</w:t>
      </w:r>
    </w:p>
    <w:p w:rsidR="00535CC9" w:rsidRPr="00AB3ADA" w:rsidRDefault="000A6B2C" w:rsidP="00D44000">
      <w:pPr>
        <w:pStyle w:val="CommentText"/>
        <w:widowControl w:val="0"/>
        <w:tabs>
          <w:tab w:val="left" w:pos="567"/>
        </w:tabs>
        <w:rPr>
          <w:rFonts w:asciiTheme="minorHAnsi" w:hAnsiTheme="minorHAnsi" w:cstheme="minorHAnsi"/>
          <w:sz w:val="22"/>
          <w:szCs w:val="22"/>
        </w:rPr>
      </w:pPr>
      <w:r w:rsidRPr="00AB3ADA">
        <w:rPr>
          <w:rFonts w:asciiTheme="minorHAnsi" w:hAnsiTheme="minorHAnsi" w:cstheme="minorHAnsi"/>
          <w:sz w:val="22"/>
          <w:szCs w:val="22"/>
          <w:u w:val="single"/>
        </w:rPr>
        <w:t>Lidocaine 1% without epinephrine (adrenaline):</w:t>
      </w:r>
      <w:r w:rsidRPr="00AB3ADA">
        <w:rPr>
          <w:rFonts w:asciiTheme="minorHAnsi" w:hAnsiTheme="minorHAnsi" w:cstheme="minorHAnsi"/>
          <w:i/>
          <w:sz w:val="22"/>
          <w:szCs w:val="22"/>
        </w:rPr>
        <w:t>added</w:t>
      </w:r>
    </w:p>
    <w:p w:rsidR="000A6B2C" w:rsidRPr="00AB3ADA" w:rsidRDefault="000A6B2C" w:rsidP="00D44000">
      <w:pPr>
        <w:pStyle w:val="CommentText"/>
        <w:widowControl w:val="0"/>
        <w:tabs>
          <w:tab w:val="left" w:pos="567"/>
        </w:tabs>
        <w:rPr>
          <w:rFonts w:asciiTheme="minorHAnsi" w:hAnsiTheme="minorHAnsi" w:cstheme="minorHAnsi"/>
          <w:sz w:val="22"/>
          <w:szCs w:val="22"/>
        </w:rPr>
      </w:pPr>
    </w:p>
    <w:p w:rsidR="00535CC9" w:rsidRPr="00AB3ADA" w:rsidRDefault="00535CC9" w:rsidP="00D44000">
      <w:pPr>
        <w:pStyle w:val="CommentText"/>
        <w:widowControl w:val="0"/>
        <w:tabs>
          <w:tab w:val="left" w:pos="567"/>
        </w:tabs>
        <w:rPr>
          <w:rFonts w:asciiTheme="minorHAnsi" w:hAnsiTheme="minorHAnsi" w:cstheme="minorHAnsi"/>
          <w:sz w:val="22"/>
          <w:szCs w:val="22"/>
        </w:rPr>
      </w:pPr>
      <w:r w:rsidRPr="00AB3ADA">
        <w:rPr>
          <w:rFonts w:asciiTheme="minorHAnsi" w:hAnsiTheme="minorHAnsi" w:cstheme="minorHAnsi"/>
          <w:sz w:val="22"/>
          <w:szCs w:val="22"/>
        </w:rPr>
        <w:t>The following treatment regimens were included in the STI chapter for treatment of partners (refer to the STI chapter for detailed information).</w:t>
      </w:r>
    </w:p>
    <w:tbl>
      <w:tblPr>
        <w:tblStyle w:val="TableGrid"/>
        <w:tblW w:w="5000" w:type="pct"/>
        <w:tblLook w:val="04A0"/>
      </w:tblPr>
      <w:tblGrid>
        <w:gridCol w:w="1157"/>
        <w:gridCol w:w="2181"/>
        <w:gridCol w:w="5904"/>
      </w:tblGrid>
      <w:tr w:rsidR="00535CC9" w:rsidRPr="00F7748E" w:rsidTr="00392243">
        <w:tc>
          <w:tcPr>
            <w:tcW w:w="626" w:type="pct"/>
          </w:tcPr>
          <w:p w:rsidR="00535CC9" w:rsidRPr="00F7748E" w:rsidRDefault="00535CC9" w:rsidP="00535CC9">
            <w:pPr>
              <w:pStyle w:val="CommentText"/>
              <w:widowControl w:val="0"/>
              <w:tabs>
                <w:tab w:val="left" w:pos="567"/>
              </w:tabs>
              <w:rPr>
                <w:rFonts w:asciiTheme="minorHAnsi" w:hAnsiTheme="minorHAnsi" w:cstheme="minorHAnsi"/>
                <w:b/>
                <w:sz w:val="18"/>
                <w:lang w:val="en-ZA"/>
              </w:rPr>
            </w:pPr>
            <w:r w:rsidRPr="00F7748E">
              <w:rPr>
                <w:rFonts w:asciiTheme="minorHAnsi" w:hAnsiTheme="minorHAnsi" w:cstheme="minorHAnsi"/>
                <w:b/>
                <w:bCs/>
                <w:sz w:val="18"/>
                <w:lang w:val="en-ZA"/>
              </w:rPr>
              <w:t>Syndrome</w:t>
            </w:r>
          </w:p>
        </w:tc>
        <w:tc>
          <w:tcPr>
            <w:tcW w:w="1180" w:type="pct"/>
          </w:tcPr>
          <w:p w:rsidR="00535CC9" w:rsidRPr="00F7748E" w:rsidRDefault="00535CC9" w:rsidP="00535CC9">
            <w:pPr>
              <w:pStyle w:val="CommentText"/>
              <w:widowControl w:val="0"/>
              <w:tabs>
                <w:tab w:val="left" w:pos="567"/>
              </w:tabs>
              <w:rPr>
                <w:rFonts w:asciiTheme="minorHAnsi" w:hAnsiTheme="minorHAnsi" w:cstheme="minorHAnsi"/>
                <w:b/>
                <w:sz w:val="18"/>
                <w:lang w:val="en-ZA"/>
              </w:rPr>
            </w:pPr>
            <w:r w:rsidRPr="00F7748E">
              <w:rPr>
                <w:rFonts w:asciiTheme="minorHAnsi" w:hAnsiTheme="minorHAnsi" w:cstheme="minorHAnsi"/>
                <w:b/>
                <w:bCs/>
                <w:sz w:val="18"/>
                <w:lang w:val="en-ZA"/>
              </w:rPr>
              <w:t>Asymptomatic Partner</w:t>
            </w:r>
            <w:r w:rsidRPr="00F7748E">
              <w:rPr>
                <w:rFonts w:asciiTheme="minorHAnsi" w:hAnsiTheme="minorHAnsi" w:cstheme="minorHAnsi"/>
                <w:b/>
                <w:bCs/>
                <w:sz w:val="18"/>
                <w:lang w:val="en-ZA"/>
              </w:rPr>
              <w:tab/>
            </w:r>
          </w:p>
        </w:tc>
        <w:tc>
          <w:tcPr>
            <w:tcW w:w="3194" w:type="pct"/>
          </w:tcPr>
          <w:p w:rsidR="00535CC9" w:rsidRPr="00F7748E" w:rsidRDefault="00535CC9" w:rsidP="00535CC9">
            <w:pPr>
              <w:pStyle w:val="CommentText"/>
              <w:widowControl w:val="0"/>
              <w:tabs>
                <w:tab w:val="left" w:pos="567"/>
              </w:tabs>
              <w:rPr>
                <w:rFonts w:asciiTheme="minorHAnsi" w:hAnsiTheme="minorHAnsi" w:cstheme="minorHAnsi"/>
                <w:b/>
                <w:bCs/>
                <w:sz w:val="18"/>
                <w:lang w:val="en-ZA"/>
              </w:rPr>
            </w:pPr>
            <w:r w:rsidRPr="00F7748E">
              <w:rPr>
                <w:rFonts w:asciiTheme="minorHAnsi" w:hAnsiTheme="minorHAnsi" w:cstheme="minorHAnsi"/>
                <w:b/>
                <w:bCs/>
                <w:sz w:val="18"/>
                <w:lang w:val="en-ZA"/>
              </w:rPr>
              <w:t>Symptomatic partner</w:t>
            </w:r>
          </w:p>
        </w:tc>
      </w:tr>
      <w:tr w:rsidR="00535CC9" w:rsidRPr="00F7748E" w:rsidTr="00392243">
        <w:tc>
          <w:tcPr>
            <w:tcW w:w="626" w:type="pct"/>
            <w:vAlign w:val="center"/>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bCs/>
                <w:sz w:val="18"/>
                <w:lang w:val="en-ZA"/>
              </w:rPr>
              <w:t>VDS    </w:t>
            </w:r>
          </w:p>
        </w:tc>
        <w:tc>
          <w:tcPr>
            <w:tcW w:w="1180"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 xml:space="preserve">Ceftriaxone + azithromycin + metronidazole </w:t>
            </w:r>
          </w:p>
        </w:tc>
        <w:tc>
          <w:tcPr>
            <w:tcW w:w="3194"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 xml:space="preserve">Ceftriaxone + azithromycin + metronidazole </w:t>
            </w:r>
          </w:p>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PLUS treatment for syndrome present if not included in the above</w:t>
            </w:r>
          </w:p>
        </w:tc>
      </w:tr>
      <w:tr w:rsidR="00535CC9" w:rsidRPr="00F7748E" w:rsidTr="00392243">
        <w:tc>
          <w:tcPr>
            <w:tcW w:w="626" w:type="pct"/>
            <w:vAlign w:val="center"/>
          </w:tcPr>
          <w:p w:rsidR="00535CC9" w:rsidRPr="00F7748E" w:rsidRDefault="00535CC9" w:rsidP="00535CC9">
            <w:pPr>
              <w:pStyle w:val="CommentText"/>
              <w:widowControl w:val="0"/>
              <w:tabs>
                <w:tab w:val="left" w:pos="567"/>
              </w:tabs>
              <w:rPr>
                <w:rFonts w:asciiTheme="minorHAnsi" w:hAnsiTheme="minorHAnsi" w:cstheme="minorHAnsi"/>
                <w:bCs/>
                <w:sz w:val="18"/>
                <w:lang w:val="en-ZA"/>
              </w:rPr>
            </w:pPr>
            <w:r w:rsidRPr="00F7748E">
              <w:rPr>
                <w:rFonts w:asciiTheme="minorHAnsi" w:hAnsiTheme="minorHAnsi" w:cstheme="minorHAnsi"/>
                <w:bCs/>
                <w:sz w:val="18"/>
                <w:lang w:val="en-ZA"/>
              </w:rPr>
              <w:t> LAP </w:t>
            </w:r>
          </w:p>
        </w:tc>
        <w:tc>
          <w:tcPr>
            <w:tcW w:w="1180"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 xml:space="preserve">Ceftriaxone + azithromycin + metronidazole </w:t>
            </w:r>
          </w:p>
        </w:tc>
        <w:tc>
          <w:tcPr>
            <w:tcW w:w="3194"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 xml:space="preserve">Ceftriaxone + azithromycin + metronidazole </w:t>
            </w:r>
          </w:p>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PLUS treatment for syndrome present if not included in the above</w:t>
            </w:r>
          </w:p>
        </w:tc>
      </w:tr>
      <w:tr w:rsidR="00535CC9" w:rsidRPr="00F7748E" w:rsidTr="00392243">
        <w:tc>
          <w:tcPr>
            <w:tcW w:w="626"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bCs/>
                <w:sz w:val="18"/>
                <w:lang w:val="en-ZA"/>
              </w:rPr>
              <w:t xml:space="preserve">MUS </w:t>
            </w:r>
          </w:p>
        </w:tc>
        <w:tc>
          <w:tcPr>
            <w:tcW w:w="1180"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Ceftriaxone + azithromycin</w:t>
            </w:r>
          </w:p>
        </w:tc>
        <w:tc>
          <w:tcPr>
            <w:tcW w:w="3194"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Ceftriaxone + azithromycin</w:t>
            </w:r>
          </w:p>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PLUS treatment for syndrome present if not included in the above</w:t>
            </w:r>
          </w:p>
        </w:tc>
      </w:tr>
      <w:tr w:rsidR="00535CC9" w:rsidRPr="00F7748E" w:rsidTr="00392243">
        <w:tc>
          <w:tcPr>
            <w:tcW w:w="626" w:type="pct"/>
          </w:tcPr>
          <w:p w:rsidR="00535CC9" w:rsidRPr="00F7748E" w:rsidRDefault="00535CC9" w:rsidP="00535CC9">
            <w:pPr>
              <w:pStyle w:val="CommentText"/>
              <w:widowControl w:val="0"/>
              <w:tabs>
                <w:tab w:val="left" w:pos="567"/>
              </w:tabs>
              <w:rPr>
                <w:rFonts w:asciiTheme="minorHAnsi" w:hAnsiTheme="minorHAnsi" w:cstheme="minorHAnsi"/>
                <w:bCs/>
                <w:sz w:val="18"/>
                <w:lang w:val="en-ZA"/>
              </w:rPr>
            </w:pPr>
            <w:r w:rsidRPr="00F7748E">
              <w:rPr>
                <w:rFonts w:asciiTheme="minorHAnsi" w:hAnsiTheme="minorHAnsi" w:cstheme="minorHAnsi"/>
                <w:bCs/>
                <w:sz w:val="18"/>
                <w:lang w:val="en-ZA"/>
              </w:rPr>
              <w:t>Scrotal swelling</w:t>
            </w:r>
          </w:p>
        </w:tc>
        <w:tc>
          <w:tcPr>
            <w:tcW w:w="1180"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Ceftriaxone + azithromycin</w:t>
            </w:r>
          </w:p>
        </w:tc>
        <w:tc>
          <w:tcPr>
            <w:tcW w:w="3194"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Ceftriaxone + azithromycin</w:t>
            </w:r>
          </w:p>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PLUS treatment for syndrome present if not included in the above</w:t>
            </w:r>
          </w:p>
        </w:tc>
      </w:tr>
      <w:tr w:rsidR="00535CC9" w:rsidRPr="00F7748E" w:rsidTr="00392243">
        <w:trPr>
          <w:trHeight w:val="455"/>
        </w:trPr>
        <w:tc>
          <w:tcPr>
            <w:tcW w:w="626"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bCs/>
                <w:sz w:val="18"/>
                <w:lang w:val="en-ZA"/>
              </w:rPr>
              <w:t> GUS</w:t>
            </w:r>
          </w:p>
        </w:tc>
        <w:tc>
          <w:tcPr>
            <w:tcW w:w="1180"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 xml:space="preserve">benzathine penicillin </w:t>
            </w:r>
          </w:p>
        </w:tc>
        <w:tc>
          <w:tcPr>
            <w:tcW w:w="3194" w:type="pct"/>
          </w:tcPr>
          <w:p w:rsidR="00535CC9" w:rsidRPr="00F7748E" w:rsidRDefault="00DE3F6A" w:rsidP="00535CC9">
            <w:pPr>
              <w:pStyle w:val="CommentText"/>
              <w:widowControl w:val="0"/>
              <w:tabs>
                <w:tab w:val="left" w:pos="567"/>
              </w:tabs>
              <w:rPr>
                <w:rFonts w:asciiTheme="minorHAnsi" w:hAnsiTheme="minorHAnsi" w:cstheme="minorHAnsi"/>
                <w:sz w:val="18"/>
                <w:lang w:val="en-ZA"/>
              </w:rPr>
            </w:pPr>
            <w:r>
              <w:rPr>
                <w:rFonts w:asciiTheme="minorHAnsi" w:hAnsiTheme="minorHAnsi" w:cstheme="minorHAnsi"/>
                <w:sz w:val="18"/>
                <w:lang w:val="en-ZA"/>
              </w:rPr>
              <w:t>doxycycline/</w:t>
            </w:r>
            <w:r w:rsidR="00535CC9" w:rsidRPr="00F7748E">
              <w:rPr>
                <w:rFonts w:asciiTheme="minorHAnsi" w:hAnsiTheme="minorHAnsi" w:cstheme="minorHAnsi"/>
                <w:sz w:val="18"/>
                <w:lang w:val="en-ZA"/>
              </w:rPr>
              <w:t xml:space="preserve">benzathine penicillin </w:t>
            </w:r>
          </w:p>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PLUS treatment for syndrome present if not included in the above</w:t>
            </w:r>
          </w:p>
        </w:tc>
      </w:tr>
      <w:tr w:rsidR="00535CC9" w:rsidRPr="00F7748E" w:rsidTr="00392243">
        <w:tc>
          <w:tcPr>
            <w:tcW w:w="626"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 Bubo</w:t>
            </w:r>
          </w:p>
        </w:tc>
        <w:tc>
          <w:tcPr>
            <w:tcW w:w="1180"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azithromycin</w:t>
            </w:r>
          </w:p>
        </w:tc>
        <w:tc>
          <w:tcPr>
            <w:tcW w:w="3194" w:type="pct"/>
          </w:tcPr>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azithromycin</w:t>
            </w:r>
          </w:p>
          <w:p w:rsidR="00535CC9" w:rsidRPr="00F7748E" w:rsidRDefault="00535CC9" w:rsidP="00535CC9">
            <w:pPr>
              <w:pStyle w:val="CommentText"/>
              <w:widowControl w:val="0"/>
              <w:tabs>
                <w:tab w:val="left" w:pos="567"/>
              </w:tabs>
              <w:rPr>
                <w:rFonts w:asciiTheme="minorHAnsi" w:hAnsiTheme="minorHAnsi" w:cstheme="minorHAnsi"/>
                <w:sz w:val="18"/>
                <w:lang w:val="en-ZA"/>
              </w:rPr>
            </w:pPr>
            <w:r w:rsidRPr="00F7748E">
              <w:rPr>
                <w:rFonts w:asciiTheme="minorHAnsi" w:hAnsiTheme="minorHAnsi" w:cstheme="minorHAnsi"/>
                <w:sz w:val="18"/>
                <w:lang w:val="en-ZA"/>
              </w:rPr>
              <w:t>PLUS treatment for syndrome present if not included in the above</w:t>
            </w:r>
          </w:p>
        </w:tc>
      </w:tr>
    </w:tbl>
    <w:p w:rsidR="00535CC9" w:rsidRPr="00AB3ADA" w:rsidRDefault="00754030" w:rsidP="00D44000">
      <w:pPr>
        <w:pStyle w:val="CommentText"/>
        <w:widowControl w:val="0"/>
        <w:tabs>
          <w:tab w:val="left" w:pos="567"/>
        </w:tabs>
        <w:rPr>
          <w:rFonts w:asciiTheme="minorHAnsi" w:hAnsiTheme="minorHAnsi" w:cstheme="minorHAnsi"/>
          <w:spacing w:val="-4"/>
          <w:sz w:val="22"/>
          <w:szCs w:val="22"/>
        </w:rPr>
      </w:pPr>
      <w:r w:rsidRPr="00AB3ADA">
        <w:rPr>
          <w:rFonts w:asciiTheme="minorHAnsi" w:hAnsiTheme="minorHAnsi" w:cstheme="minorHAnsi"/>
          <w:spacing w:val="-4"/>
          <w:sz w:val="22"/>
          <w:szCs w:val="22"/>
        </w:rPr>
        <w:t xml:space="preserve">Aligned with the </w:t>
      </w:r>
      <w:r w:rsidRPr="00AB3ADA">
        <w:rPr>
          <w:rFonts w:asciiTheme="minorHAnsi" w:hAnsiTheme="minorHAnsi" w:cstheme="minorHAnsi"/>
          <w:sz w:val="22"/>
          <w:szCs w:val="22"/>
        </w:rPr>
        <w:t>Centers for Disease Control and Prevention</w:t>
      </w:r>
      <w:r w:rsidRPr="00AB3ADA">
        <w:rPr>
          <w:rFonts w:asciiTheme="minorHAnsi" w:hAnsiTheme="minorHAnsi" w:cstheme="minorHAnsi"/>
          <w:spacing w:val="-4"/>
          <w:sz w:val="22"/>
          <w:szCs w:val="22"/>
        </w:rPr>
        <w:t xml:space="preserve"> (CDC) </w:t>
      </w:r>
      <w:r w:rsidRPr="00AB3ADA">
        <w:rPr>
          <w:rFonts w:asciiTheme="minorHAnsi" w:hAnsiTheme="minorHAnsi" w:cstheme="minorHAnsi"/>
          <w:sz w:val="22"/>
          <w:szCs w:val="22"/>
        </w:rPr>
        <w:t>Sexually Transmitted Diseases Treatment Guidelines</w:t>
      </w:r>
      <w:r w:rsidRPr="00AB3ADA">
        <w:rPr>
          <w:rFonts w:asciiTheme="minorHAnsi" w:hAnsiTheme="minorHAnsi" w:cstheme="minorHAnsi"/>
          <w:spacing w:val="-4"/>
          <w:sz w:val="22"/>
          <w:szCs w:val="22"/>
        </w:rPr>
        <w:t>, 2015</w:t>
      </w:r>
      <w:r w:rsidRPr="00AB3ADA">
        <w:rPr>
          <w:rStyle w:val="FootnoteReference"/>
          <w:rFonts w:asciiTheme="minorHAnsi" w:hAnsiTheme="minorHAnsi" w:cstheme="minorHAnsi"/>
          <w:spacing w:val="-4"/>
          <w:sz w:val="22"/>
          <w:szCs w:val="22"/>
        </w:rPr>
        <w:footnoteReference w:id="2"/>
      </w:r>
      <w:r w:rsidRPr="00AB3ADA">
        <w:rPr>
          <w:rFonts w:asciiTheme="minorHAnsi" w:hAnsiTheme="minorHAnsi" w:cstheme="minorHAnsi"/>
          <w:spacing w:val="-4"/>
          <w:sz w:val="22"/>
          <w:szCs w:val="22"/>
        </w:rPr>
        <w:t>.</w:t>
      </w:r>
    </w:p>
    <w:p w:rsidR="00754030" w:rsidRPr="00AB3ADA" w:rsidRDefault="00754030" w:rsidP="00754030">
      <w:pPr>
        <w:pStyle w:val="ListParagraph"/>
        <w:widowControl w:val="0"/>
        <w:autoSpaceDE w:val="0"/>
        <w:autoSpaceDN w:val="0"/>
        <w:adjustRightInd w:val="0"/>
        <w:ind w:left="0"/>
        <w:jc w:val="both"/>
        <w:rPr>
          <w:rFonts w:asciiTheme="minorHAnsi" w:hAnsiTheme="minorHAnsi" w:cstheme="minorHAnsi"/>
          <w:b/>
          <w:spacing w:val="-4"/>
          <w:sz w:val="22"/>
          <w:szCs w:val="22"/>
        </w:rPr>
      </w:pPr>
      <w:r w:rsidRPr="00AB3ADA">
        <w:rPr>
          <w:rFonts w:asciiTheme="minorHAnsi" w:hAnsiTheme="minorHAnsi" w:cstheme="minorHAnsi"/>
          <w:b/>
          <w:spacing w:val="-4"/>
          <w:sz w:val="22"/>
          <w:szCs w:val="22"/>
        </w:rPr>
        <w:t>Level of Evidence: III Guidelines</w:t>
      </w:r>
    </w:p>
    <w:p w:rsidR="00754030" w:rsidRPr="00AB3ADA" w:rsidRDefault="00754030" w:rsidP="00D44000">
      <w:pPr>
        <w:pStyle w:val="CommentText"/>
        <w:widowControl w:val="0"/>
        <w:tabs>
          <w:tab w:val="left" w:pos="567"/>
        </w:tabs>
        <w:rPr>
          <w:rFonts w:asciiTheme="minorHAnsi" w:hAnsiTheme="minorHAnsi" w:cstheme="minorHAnsi"/>
          <w:b/>
          <w:sz w:val="22"/>
          <w:szCs w:val="22"/>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276AF0" w:rsidRPr="00AB3ADA" w:rsidTr="00E24513">
        <w:tc>
          <w:tcPr>
            <w:tcW w:w="9242" w:type="dxa"/>
            <w:tcBorders>
              <w:top w:val="double" w:sz="4" w:space="0" w:color="C0C0C0"/>
              <w:left w:val="double" w:sz="4" w:space="0" w:color="C0C0C0"/>
              <w:bottom w:val="double" w:sz="4" w:space="0" w:color="C0C0C0"/>
              <w:right w:val="double" w:sz="4" w:space="0" w:color="C0C0C0"/>
            </w:tcBorders>
          </w:tcPr>
          <w:p w:rsidR="00276AF0" w:rsidRPr="00AB3ADA" w:rsidRDefault="00276AF0" w:rsidP="00E24513">
            <w:pPr>
              <w:widowControl w:val="0"/>
              <w:autoSpaceDE w:val="0"/>
              <w:autoSpaceDN w:val="0"/>
              <w:adjustRightInd w:val="0"/>
              <w:spacing w:before="120" w:after="120" w:line="240" w:lineRule="auto"/>
              <w:rPr>
                <w:rFonts w:cstheme="minorHAnsi"/>
                <w:b/>
              </w:rPr>
            </w:pPr>
            <w:r w:rsidRPr="00AB3ADA">
              <w:rPr>
                <w:rFonts w:cstheme="minorHAnsi"/>
                <w:b/>
                <w:bCs/>
              </w:rPr>
              <w:t>12.1 VAGINAL DISCHARGE SYNDROME (VDS)</w:t>
            </w:r>
          </w:p>
        </w:tc>
      </w:tr>
    </w:tbl>
    <w:p w:rsidR="00100D69" w:rsidRPr="00AB3ADA" w:rsidRDefault="00531E6C" w:rsidP="00100D69">
      <w:pPr>
        <w:spacing w:after="0" w:line="240" w:lineRule="auto"/>
        <w:jc w:val="both"/>
        <w:rPr>
          <w:i/>
        </w:rPr>
      </w:pPr>
      <w:r w:rsidRPr="00AB3ADA">
        <w:rPr>
          <w:u w:val="single"/>
        </w:rPr>
        <w:t>Age cut-off criterion:</w:t>
      </w:r>
      <w:r w:rsidR="00AB3ADA" w:rsidRPr="00AB3ADA">
        <w:rPr>
          <w:u w:val="single"/>
        </w:rPr>
        <w:t xml:space="preserve"> </w:t>
      </w:r>
      <w:r w:rsidR="0004500B" w:rsidRPr="00AB3ADA">
        <w:rPr>
          <w:i/>
        </w:rPr>
        <w:t>deleted from VDS algorithm</w:t>
      </w:r>
    </w:p>
    <w:p w:rsidR="000E4F85" w:rsidRPr="00AB3ADA" w:rsidRDefault="000E4F85" w:rsidP="000E4F85">
      <w:pPr>
        <w:spacing w:after="0" w:line="240" w:lineRule="auto"/>
        <w:jc w:val="both"/>
        <w:rPr>
          <w:rFonts w:cstheme="minorHAnsi"/>
          <w:i/>
        </w:rPr>
      </w:pPr>
      <w:r w:rsidRPr="00AB3ADA">
        <w:rPr>
          <w:rFonts w:cstheme="minorHAnsi"/>
          <w:u w:val="single"/>
        </w:rPr>
        <w:t>Sexual activity criterion:</w:t>
      </w:r>
      <w:r w:rsidR="00AB3ADA" w:rsidRPr="00AB3ADA">
        <w:rPr>
          <w:rFonts w:cstheme="minorHAnsi"/>
          <w:u w:val="single"/>
        </w:rPr>
        <w:t xml:space="preserve"> </w:t>
      </w:r>
      <w:r w:rsidRPr="00AB3ADA">
        <w:rPr>
          <w:rFonts w:cstheme="minorHAnsi"/>
          <w:i/>
        </w:rPr>
        <w:t>added to VDS algorithm</w:t>
      </w:r>
    </w:p>
    <w:p w:rsidR="000E4F85" w:rsidRPr="00AB3ADA" w:rsidRDefault="000E4F85" w:rsidP="000E4F85">
      <w:pPr>
        <w:widowControl w:val="0"/>
        <w:autoSpaceDE w:val="0"/>
        <w:autoSpaceDN w:val="0"/>
        <w:adjustRightInd w:val="0"/>
        <w:spacing w:after="0" w:line="240" w:lineRule="auto"/>
        <w:jc w:val="both"/>
        <w:rPr>
          <w:rFonts w:cstheme="minorHAnsi"/>
          <w:spacing w:val="-4"/>
        </w:rPr>
      </w:pPr>
      <w:r w:rsidRPr="00AB3ADA">
        <w:rPr>
          <w:rFonts w:cstheme="minorHAnsi"/>
          <w:spacing w:val="-4"/>
          <w:u w:val="single"/>
        </w:rPr>
        <w:t>Cotrimazole+metronidazole dual therapy</w:t>
      </w:r>
      <w:r w:rsidRPr="00AB3ADA">
        <w:rPr>
          <w:rFonts w:cstheme="minorHAnsi"/>
          <w:spacing w:val="-4"/>
        </w:rPr>
        <w:t xml:space="preserve">: </w:t>
      </w:r>
      <w:r w:rsidRPr="00AB3ADA">
        <w:rPr>
          <w:rFonts w:cstheme="minorHAnsi"/>
          <w:i/>
          <w:spacing w:val="-4"/>
        </w:rPr>
        <w:t>amended to monotherapy directed syndromic management</w:t>
      </w:r>
    </w:p>
    <w:p w:rsidR="000E4F85" w:rsidRPr="00AB3ADA" w:rsidRDefault="000E4F85" w:rsidP="00100D69">
      <w:pPr>
        <w:spacing w:after="0" w:line="240" w:lineRule="auto"/>
        <w:jc w:val="both"/>
        <w:rPr>
          <w:i/>
        </w:rPr>
      </w:pPr>
      <w:r w:rsidRPr="00AB3ADA">
        <w:rPr>
          <w:u w:val="single"/>
        </w:rPr>
        <w:t xml:space="preserve">Speculum examination: </w:t>
      </w:r>
      <w:r w:rsidRPr="00AB3ADA">
        <w:rPr>
          <w:i/>
        </w:rPr>
        <w:t>added to VDS algorithm to differentiate between cervicitis and vaginitis</w:t>
      </w:r>
    </w:p>
    <w:p w:rsidR="000E4F85" w:rsidRPr="00AB3ADA" w:rsidRDefault="000E4F85" w:rsidP="00100D69">
      <w:pPr>
        <w:spacing w:after="0" w:line="240" w:lineRule="auto"/>
        <w:jc w:val="both"/>
      </w:pPr>
    </w:p>
    <w:p w:rsidR="000E4F85" w:rsidRPr="00AB3ADA" w:rsidRDefault="000E4F85" w:rsidP="00100D69">
      <w:pPr>
        <w:spacing w:after="0" w:line="240" w:lineRule="auto"/>
        <w:jc w:val="both"/>
        <w:rPr>
          <w:b/>
        </w:rPr>
      </w:pPr>
      <w:r w:rsidRPr="00AB3ADA">
        <w:rPr>
          <w:b/>
        </w:rPr>
        <w:t>A: AGE CUT-OFF CRITERION</w:t>
      </w:r>
    </w:p>
    <w:p w:rsidR="00100D69" w:rsidRPr="00AB3ADA" w:rsidRDefault="00100D69" w:rsidP="00100D69">
      <w:pPr>
        <w:widowControl w:val="0"/>
        <w:autoSpaceDE w:val="0"/>
        <w:autoSpaceDN w:val="0"/>
        <w:adjustRightInd w:val="0"/>
        <w:spacing w:after="0" w:line="240" w:lineRule="auto"/>
        <w:jc w:val="both"/>
        <w:rPr>
          <w:rFonts w:cstheme="minorHAnsi"/>
          <w:spacing w:val="-4"/>
        </w:rPr>
      </w:pPr>
      <w:r w:rsidRPr="00AB3ADA">
        <w:rPr>
          <w:rFonts w:cstheme="minorHAnsi"/>
          <w:b/>
          <w:i/>
          <w:spacing w:val="-4"/>
        </w:rPr>
        <w:t>Previous age cut-off (&lt;35 years) criterion:</w:t>
      </w:r>
      <w:r w:rsidR="00AB3ADA" w:rsidRPr="00AB3ADA">
        <w:rPr>
          <w:rFonts w:cstheme="minorHAnsi"/>
          <w:b/>
          <w:i/>
          <w:spacing w:val="-4"/>
        </w:rPr>
        <w:t xml:space="preserve"> </w:t>
      </w:r>
      <w:r w:rsidRPr="00AB3ADA">
        <w:rPr>
          <w:rFonts w:cstheme="minorHAnsi"/>
          <w:spacing w:val="-4"/>
        </w:rPr>
        <w:t>Unpublished surveillance data for VDS at Alexander Health Centre, Gauteng (2007 -2012) shared by NICD: Centre for STI and HIV informed the age cut-off criterion of &lt; 35 years of age</w:t>
      </w:r>
      <w:r w:rsidR="00221208" w:rsidRPr="00AB3ADA">
        <w:rPr>
          <w:rFonts w:cstheme="minorHAnsi"/>
          <w:spacing w:val="-4"/>
        </w:rPr>
        <w:t xml:space="preserve">. In that survey, </w:t>
      </w:r>
      <w:r w:rsidR="006E01DB" w:rsidRPr="00AB3ADA">
        <w:rPr>
          <w:rFonts w:cstheme="minorHAnsi"/>
          <w:spacing w:val="-4"/>
        </w:rPr>
        <w:t xml:space="preserve">N gonorrhoea and C trachomatis were infrequent causes of VDS women &gt; 35 years of age. </w:t>
      </w:r>
    </w:p>
    <w:p w:rsidR="00100D69" w:rsidRPr="00F7748E" w:rsidRDefault="00100D69" w:rsidP="00100D69">
      <w:pPr>
        <w:widowControl w:val="0"/>
        <w:autoSpaceDE w:val="0"/>
        <w:autoSpaceDN w:val="0"/>
        <w:adjustRightInd w:val="0"/>
        <w:spacing w:after="0" w:line="240" w:lineRule="auto"/>
        <w:jc w:val="both"/>
        <w:rPr>
          <w:rFonts w:cstheme="minorHAnsi"/>
          <w:spacing w:val="-4"/>
          <w:szCs w:val="20"/>
        </w:rPr>
      </w:pPr>
    </w:p>
    <w:p w:rsidR="00100D69" w:rsidRPr="00F7748E" w:rsidRDefault="00100D69" w:rsidP="00100D69">
      <w:pPr>
        <w:widowControl w:val="0"/>
        <w:autoSpaceDE w:val="0"/>
        <w:autoSpaceDN w:val="0"/>
        <w:adjustRightInd w:val="0"/>
        <w:spacing w:after="0" w:line="240" w:lineRule="auto"/>
        <w:jc w:val="both"/>
        <w:rPr>
          <w:rFonts w:cstheme="minorHAnsi"/>
          <w:spacing w:val="-4"/>
          <w:szCs w:val="20"/>
        </w:rPr>
      </w:pPr>
      <w:r w:rsidRPr="00F7748E">
        <w:rPr>
          <w:rFonts w:cstheme="minorHAnsi"/>
          <w:noProof/>
          <w:spacing w:val="-4"/>
          <w:szCs w:val="20"/>
          <w:lang w:eastAsia="en-GB"/>
        </w:rPr>
        <w:drawing>
          <wp:inline distT="0" distB="0" distL="0" distR="0">
            <wp:extent cx="2286828" cy="2067339"/>
            <wp:effectExtent l="19050" t="0" r="0" b="0"/>
            <wp:docPr id="26"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srcRect/>
                    <a:stretch>
                      <a:fillRect/>
                    </a:stretch>
                  </pic:blipFill>
                  <pic:spPr bwMode="auto">
                    <a:xfrm>
                      <a:off x="0" y="0"/>
                      <a:ext cx="2284188" cy="2064952"/>
                    </a:xfrm>
                    <a:prstGeom prst="rect">
                      <a:avLst/>
                    </a:prstGeom>
                    <a:noFill/>
                  </pic:spPr>
                </pic:pic>
              </a:graphicData>
            </a:graphic>
          </wp:inline>
        </w:drawing>
      </w:r>
      <w:r w:rsidRPr="00F7748E">
        <w:rPr>
          <w:rFonts w:cstheme="minorHAnsi"/>
          <w:noProof/>
          <w:spacing w:val="-4"/>
          <w:szCs w:val="20"/>
          <w:lang w:eastAsia="en-GB"/>
        </w:rPr>
        <w:drawing>
          <wp:inline distT="0" distB="0" distL="0" distR="0">
            <wp:extent cx="2127802" cy="2067340"/>
            <wp:effectExtent l="19050" t="0" r="5798" b="0"/>
            <wp:docPr id="27" name="Picture 2"/>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cstate="print"/>
                    <a:srcRect/>
                    <a:stretch>
                      <a:fillRect/>
                    </a:stretch>
                  </pic:blipFill>
                  <pic:spPr bwMode="auto">
                    <a:xfrm>
                      <a:off x="0" y="0"/>
                      <a:ext cx="2127319" cy="2066871"/>
                    </a:xfrm>
                    <a:prstGeom prst="rect">
                      <a:avLst/>
                    </a:prstGeom>
                    <a:noFill/>
                  </pic:spPr>
                </pic:pic>
              </a:graphicData>
            </a:graphic>
          </wp:inline>
        </w:drawing>
      </w:r>
    </w:p>
    <w:p w:rsidR="00100D69" w:rsidRPr="00F7748E" w:rsidRDefault="00100D69" w:rsidP="00100D69">
      <w:pPr>
        <w:widowControl w:val="0"/>
        <w:autoSpaceDE w:val="0"/>
        <w:autoSpaceDN w:val="0"/>
        <w:adjustRightInd w:val="0"/>
        <w:spacing w:after="0" w:line="240" w:lineRule="auto"/>
        <w:jc w:val="both"/>
        <w:rPr>
          <w:rFonts w:cstheme="minorHAnsi"/>
          <w:b/>
          <w:spacing w:val="-4"/>
          <w:sz w:val="18"/>
          <w:szCs w:val="20"/>
        </w:rPr>
      </w:pPr>
      <w:r w:rsidRPr="00F7748E">
        <w:rPr>
          <w:rFonts w:cstheme="minorHAnsi"/>
          <w:b/>
          <w:spacing w:val="-4"/>
          <w:sz w:val="18"/>
          <w:szCs w:val="20"/>
        </w:rPr>
        <w:t>Figure 1a: Men</w:t>
      </w:r>
      <w:r w:rsidRPr="00F7748E">
        <w:rPr>
          <w:rFonts w:cstheme="minorHAnsi"/>
          <w:b/>
          <w:spacing w:val="-4"/>
          <w:sz w:val="18"/>
          <w:szCs w:val="20"/>
        </w:rPr>
        <w:tab/>
      </w:r>
      <w:r w:rsidRPr="00F7748E">
        <w:rPr>
          <w:rFonts w:cstheme="minorHAnsi"/>
          <w:b/>
          <w:spacing w:val="-4"/>
          <w:sz w:val="18"/>
          <w:szCs w:val="20"/>
        </w:rPr>
        <w:tab/>
      </w:r>
      <w:r w:rsidRPr="00F7748E">
        <w:rPr>
          <w:rFonts w:cstheme="minorHAnsi"/>
          <w:b/>
          <w:spacing w:val="-4"/>
          <w:sz w:val="18"/>
          <w:szCs w:val="20"/>
        </w:rPr>
        <w:tab/>
      </w:r>
      <w:r w:rsidRPr="00F7748E">
        <w:rPr>
          <w:rFonts w:cstheme="minorHAnsi"/>
          <w:b/>
          <w:spacing w:val="-4"/>
          <w:sz w:val="18"/>
          <w:szCs w:val="20"/>
        </w:rPr>
        <w:tab/>
      </w:r>
      <w:r w:rsidRPr="00F7748E">
        <w:rPr>
          <w:rFonts w:cstheme="minorHAnsi"/>
          <w:b/>
          <w:spacing w:val="-4"/>
          <w:sz w:val="18"/>
          <w:szCs w:val="20"/>
        </w:rPr>
        <w:tab/>
      </w:r>
      <w:r w:rsidRPr="00F7748E">
        <w:rPr>
          <w:rFonts w:cstheme="minorHAnsi"/>
          <w:b/>
          <w:spacing w:val="-4"/>
          <w:sz w:val="18"/>
          <w:szCs w:val="20"/>
        </w:rPr>
        <w:tab/>
        <w:t>Figure 1b: Women</w:t>
      </w:r>
    </w:p>
    <w:p w:rsidR="00100D69" w:rsidRPr="00F7748E" w:rsidRDefault="00100D69" w:rsidP="00100D69">
      <w:pPr>
        <w:widowControl w:val="0"/>
        <w:autoSpaceDE w:val="0"/>
        <w:autoSpaceDN w:val="0"/>
        <w:adjustRightInd w:val="0"/>
        <w:spacing w:after="0" w:line="240" w:lineRule="auto"/>
        <w:jc w:val="both"/>
        <w:rPr>
          <w:rFonts w:cstheme="minorHAnsi"/>
          <w:spacing w:val="-4"/>
          <w:sz w:val="18"/>
          <w:szCs w:val="20"/>
        </w:rPr>
      </w:pPr>
      <w:r w:rsidRPr="00F7748E">
        <w:rPr>
          <w:rFonts w:cstheme="minorHAnsi"/>
          <w:spacing w:val="-4"/>
          <w:sz w:val="18"/>
          <w:szCs w:val="20"/>
        </w:rPr>
        <w:t xml:space="preserve">Figure 1a &amp; 1 b: Prevalence of </w:t>
      </w:r>
      <w:r w:rsidRPr="00F7748E">
        <w:rPr>
          <w:rFonts w:cstheme="minorHAnsi"/>
          <w:i/>
          <w:iCs/>
          <w:spacing w:val="-4"/>
          <w:sz w:val="18"/>
          <w:szCs w:val="20"/>
        </w:rPr>
        <w:t>Neisseria gonorrhoeae</w:t>
      </w:r>
      <w:r w:rsidRPr="00F7748E">
        <w:rPr>
          <w:rFonts w:cstheme="minorHAnsi"/>
          <w:spacing w:val="-4"/>
          <w:sz w:val="18"/>
          <w:szCs w:val="20"/>
        </w:rPr>
        <w:t xml:space="preserve">, </w:t>
      </w:r>
      <w:r w:rsidRPr="00F7748E">
        <w:rPr>
          <w:rFonts w:cstheme="minorHAnsi"/>
          <w:i/>
          <w:iCs/>
          <w:spacing w:val="-4"/>
          <w:sz w:val="18"/>
          <w:szCs w:val="20"/>
        </w:rPr>
        <w:t>Chlamydia trachomatis, Trichomoniais vaginalis and Mycoplasma genitalium</w:t>
      </w:r>
      <w:r w:rsidRPr="00F7748E">
        <w:rPr>
          <w:rFonts w:cstheme="minorHAnsi"/>
          <w:spacing w:val="-4"/>
          <w:sz w:val="18"/>
          <w:szCs w:val="20"/>
        </w:rPr>
        <w:t>by age group for men (n=1,218) and women (n=1,232) with genital discharges - combined survey data from six annual surveys undertaken from January to April each year in Alexandra Health Centre, 2007-2012.</w:t>
      </w:r>
    </w:p>
    <w:p w:rsidR="00100D69" w:rsidRPr="00F7748E" w:rsidRDefault="00100D69" w:rsidP="00100D69">
      <w:pPr>
        <w:widowControl w:val="0"/>
        <w:autoSpaceDE w:val="0"/>
        <w:autoSpaceDN w:val="0"/>
        <w:adjustRightInd w:val="0"/>
        <w:spacing w:after="0" w:line="240" w:lineRule="auto"/>
        <w:jc w:val="both"/>
        <w:rPr>
          <w:rFonts w:cstheme="minorHAnsi"/>
          <w:b/>
          <w:spacing w:val="-4"/>
          <w:szCs w:val="20"/>
        </w:rPr>
      </w:pPr>
    </w:p>
    <w:p w:rsidR="00100D69" w:rsidRPr="00F7748E" w:rsidRDefault="00100D69" w:rsidP="00100D69">
      <w:pPr>
        <w:widowControl w:val="0"/>
        <w:autoSpaceDE w:val="0"/>
        <w:autoSpaceDN w:val="0"/>
        <w:adjustRightInd w:val="0"/>
        <w:spacing w:after="0" w:line="240" w:lineRule="auto"/>
        <w:jc w:val="both"/>
        <w:rPr>
          <w:rFonts w:cstheme="minorHAnsi"/>
          <w:spacing w:val="-4"/>
          <w:szCs w:val="20"/>
        </w:rPr>
      </w:pPr>
      <w:r w:rsidRPr="00F7748E">
        <w:rPr>
          <w:rFonts w:cstheme="minorHAnsi"/>
          <w:b/>
          <w:i/>
          <w:spacing w:val="-4"/>
          <w:szCs w:val="20"/>
        </w:rPr>
        <w:t>Surveillance data for period 2015-2016 (Alexandra Health Centre):</w:t>
      </w:r>
      <w:r w:rsidRPr="00F7748E">
        <w:rPr>
          <w:rFonts w:cstheme="minorHAnsi"/>
          <w:spacing w:val="-4"/>
          <w:szCs w:val="20"/>
        </w:rPr>
        <w:t xml:space="preserve"> Surveillance data of women presenting with VDS at Alexandra Health Centre(n=771) for the period January 2015 to September 2016 provided by NICD/NHLS, stratified in 4 groups showed the following % of women &gt; 35 years of age: </w:t>
      </w:r>
    </w:p>
    <w:p w:rsidR="00100D69" w:rsidRPr="00F7748E" w:rsidRDefault="00100D69" w:rsidP="00100D69">
      <w:pPr>
        <w:pStyle w:val="CommentText"/>
        <w:numPr>
          <w:ilvl w:val="0"/>
          <w:numId w:val="4"/>
        </w:numPr>
        <w:rPr>
          <w:rFonts w:asciiTheme="minorHAnsi" w:hAnsiTheme="minorHAnsi" w:cstheme="minorHAnsi"/>
          <w:sz w:val="22"/>
        </w:rPr>
      </w:pPr>
      <w:r w:rsidRPr="00F7748E">
        <w:rPr>
          <w:rFonts w:asciiTheme="minorHAnsi" w:hAnsiTheme="minorHAnsi" w:cstheme="minorHAnsi"/>
          <w:sz w:val="22"/>
        </w:rPr>
        <w:t>Bacterial vaginosis or candidiasis and no STI co-infection: 20%</w:t>
      </w:r>
    </w:p>
    <w:p w:rsidR="00100D69" w:rsidRPr="00F7748E" w:rsidRDefault="00100D69" w:rsidP="00100D69">
      <w:pPr>
        <w:pStyle w:val="CommentText"/>
        <w:numPr>
          <w:ilvl w:val="0"/>
          <w:numId w:val="4"/>
        </w:numPr>
        <w:rPr>
          <w:rFonts w:asciiTheme="minorHAnsi" w:hAnsiTheme="minorHAnsi" w:cstheme="minorHAnsi"/>
          <w:sz w:val="22"/>
        </w:rPr>
      </w:pPr>
      <w:r w:rsidRPr="00F7748E">
        <w:rPr>
          <w:rFonts w:asciiTheme="minorHAnsi" w:hAnsiTheme="minorHAnsi" w:cstheme="minorHAnsi"/>
          <w:sz w:val="22"/>
        </w:rPr>
        <w:t>Bacterial vaginosis or candidiasis and STI co-infection: 14%</w:t>
      </w:r>
    </w:p>
    <w:p w:rsidR="00100D69" w:rsidRPr="00F7748E" w:rsidRDefault="00100D69" w:rsidP="00100D69">
      <w:pPr>
        <w:pStyle w:val="CommentText"/>
        <w:numPr>
          <w:ilvl w:val="0"/>
          <w:numId w:val="4"/>
        </w:numPr>
        <w:rPr>
          <w:rFonts w:asciiTheme="minorHAnsi" w:hAnsiTheme="minorHAnsi" w:cstheme="minorHAnsi"/>
          <w:sz w:val="22"/>
        </w:rPr>
      </w:pPr>
      <w:r w:rsidRPr="00F7748E">
        <w:rPr>
          <w:rFonts w:asciiTheme="minorHAnsi" w:hAnsiTheme="minorHAnsi" w:cstheme="minorHAnsi"/>
          <w:sz w:val="22"/>
        </w:rPr>
        <w:t>STI infection only: 19%</w:t>
      </w:r>
    </w:p>
    <w:p w:rsidR="00100D69" w:rsidRPr="00F7748E" w:rsidRDefault="00100D69" w:rsidP="00100D69">
      <w:pPr>
        <w:pStyle w:val="CommentText"/>
        <w:numPr>
          <w:ilvl w:val="0"/>
          <w:numId w:val="4"/>
        </w:numPr>
        <w:rPr>
          <w:rFonts w:asciiTheme="minorHAnsi" w:hAnsiTheme="minorHAnsi" w:cstheme="minorHAnsi"/>
          <w:sz w:val="22"/>
        </w:rPr>
      </w:pPr>
      <w:r w:rsidRPr="00F7748E">
        <w:rPr>
          <w:rFonts w:asciiTheme="minorHAnsi" w:hAnsiTheme="minorHAnsi" w:cstheme="minorHAnsi"/>
          <w:sz w:val="22"/>
        </w:rPr>
        <w:t>No pathogens detected: 29%</w:t>
      </w:r>
    </w:p>
    <w:p w:rsidR="00100D69" w:rsidRPr="00F7748E" w:rsidRDefault="00100D69" w:rsidP="00100D69">
      <w:pPr>
        <w:pStyle w:val="CommentText"/>
        <w:tabs>
          <w:tab w:val="left" w:pos="0"/>
        </w:tabs>
        <w:rPr>
          <w:rFonts w:asciiTheme="minorHAnsi" w:hAnsiTheme="minorHAnsi" w:cstheme="minorHAnsi"/>
          <w:sz w:val="22"/>
        </w:rPr>
      </w:pPr>
    </w:p>
    <w:p w:rsidR="00B61917" w:rsidRPr="00F7748E" w:rsidRDefault="00B61917" w:rsidP="00B61917">
      <w:pPr>
        <w:widowControl w:val="0"/>
        <w:autoSpaceDE w:val="0"/>
        <w:autoSpaceDN w:val="0"/>
        <w:adjustRightInd w:val="0"/>
        <w:spacing w:after="0" w:line="240" w:lineRule="auto"/>
        <w:jc w:val="both"/>
        <w:rPr>
          <w:rFonts w:cstheme="minorHAnsi"/>
          <w:szCs w:val="20"/>
        </w:rPr>
      </w:pPr>
      <w:r w:rsidRPr="00F7748E">
        <w:rPr>
          <w:rFonts w:cstheme="minorHAnsi"/>
          <w:b/>
          <w:i/>
          <w:spacing w:val="-4"/>
          <w:szCs w:val="20"/>
        </w:rPr>
        <w:t>National Surveillance data:</w:t>
      </w:r>
      <w:r w:rsidR="00AB3ADA">
        <w:rPr>
          <w:rFonts w:cstheme="minorHAnsi"/>
          <w:b/>
          <w:i/>
          <w:spacing w:val="-4"/>
          <w:szCs w:val="20"/>
        </w:rPr>
        <w:t xml:space="preserve"> </w:t>
      </w:r>
      <w:r w:rsidR="0004500B" w:rsidRPr="00F7748E">
        <w:rPr>
          <w:rFonts w:cstheme="minorHAnsi"/>
          <w:spacing w:val="-4"/>
          <w:szCs w:val="20"/>
        </w:rPr>
        <w:t>The PHC 2014 VDS</w:t>
      </w:r>
      <w:r w:rsidR="00100D69" w:rsidRPr="00F7748E">
        <w:rPr>
          <w:rFonts w:cstheme="minorHAnsi"/>
          <w:spacing w:val="-4"/>
          <w:szCs w:val="20"/>
        </w:rPr>
        <w:t xml:space="preserve"> algorithm </w:t>
      </w:r>
      <w:r w:rsidR="006E01DB">
        <w:rPr>
          <w:rFonts w:cstheme="minorHAnsi"/>
          <w:spacing w:val="-4"/>
          <w:szCs w:val="20"/>
        </w:rPr>
        <w:t xml:space="preserve">does not included treatment for </w:t>
      </w:r>
      <w:r w:rsidR="006E01DB" w:rsidRPr="00F7748E">
        <w:rPr>
          <w:rFonts w:cstheme="minorHAnsi"/>
          <w:spacing w:val="-4"/>
          <w:szCs w:val="20"/>
        </w:rPr>
        <w:t>gonorrhoea/chlamydia</w:t>
      </w:r>
      <w:r w:rsidR="006E01DB">
        <w:rPr>
          <w:rFonts w:cstheme="minorHAnsi"/>
          <w:spacing w:val="-4"/>
          <w:szCs w:val="20"/>
        </w:rPr>
        <w:t xml:space="preserve"> for </w:t>
      </w:r>
      <w:r w:rsidR="00100D69" w:rsidRPr="00F7748E">
        <w:rPr>
          <w:rFonts w:cstheme="minorHAnsi"/>
          <w:spacing w:val="-4"/>
          <w:szCs w:val="20"/>
        </w:rPr>
        <w:t>women older than 35</w:t>
      </w:r>
      <w:r w:rsidR="0004500B" w:rsidRPr="00F7748E">
        <w:rPr>
          <w:rFonts w:cstheme="minorHAnsi"/>
          <w:spacing w:val="-4"/>
          <w:szCs w:val="20"/>
        </w:rPr>
        <w:t>.</w:t>
      </w:r>
      <w:r w:rsidRPr="00F7748E">
        <w:rPr>
          <w:rFonts w:cstheme="minorHAnsi"/>
          <w:spacing w:val="-4"/>
          <w:szCs w:val="20"/>
        </w:rPr>
        <w:t xml:space="preserve"> H</w:t>
      </w:r>
      <w:r w:rsidR="006E01DB">
        <w:rPr>
          <w:rFonts w:cstheme="minorHAnsi"/>
          <w:spacing w:val="-4"/>
          <w:szCs w:val="20"/>
        </w:rPr>
        <w:t>o</w:t>
      </w:r>
      <w:r w:rsidRPr="00F7748E">
        <w:rPr>
          <w:rFonts w:cstheme="minorHAnsi"/>
          <w:spacing w:val="-4"/>
          <w:szCs w:val="20"/>
        </w:rPr>
        <w:t xml:space="preserve">wever, local surveillance data from the </w:t>
      </w:r>
      <w:r w:rsidR="00E86E6D" w:rsidRPr="00F7748E">
        <w:rPr>
          <w:rFonts w:cstheme="minorHAnsi"/>
          <w:spacing w:val="-4"/>
          <w:szCs w:val="20"/>
        </w:rPr>
        <w:t xml:space="preserve">2014-2015 </w:t>
      </w:r>
      <w:r w:rsidRPr="00F7748E">
        <w:rPr>
          <w:rFonts w:cstheme="minorHAnsi"/>
          <w:spacing w:val="-4"/>
          <w:szCs w:val="20"/>
        </w:rPr>
        <w:t>National Aetiological Surveillance (NAS) study (</w:t>
      </w:r>
      <w:r w:rsidR="00E86E6D" w:rsidRPr="00F7748E">
        <w:rPr>
          <w:rFonts w:cstheme="minorHAnsi"/>
          <w:spacing w:val="-4"/>
          <w:szCs w:val="20"/>
        </w:rPr>
        <w:t>n=801</w:t>
      </w:r>
      <w:r w:rsidRPr="00F7748E">
        <w:rPr>
          <w:rFonts w:cstheme="minorHAnsi"/>
          <w:spacing w:val="-4"/>
          <w:szCs w:val="20"/>
        </w:rPr>
        <w:t>)</w:t>
      </w:r>
      <w:r w:rsidRPr="00F7748E">
        <w:rPr>
          <w:rStyle w:val="FootnoteReference"/>
          <w:rFonts w:cstheme="minorHAnsi"/>
          <w:spacing w:val="-4"/>
          <w:szCs w:val="20"/>
        </w:rPr>
        <w:footnoteReference w:id="3"/>
      </w:r>
      <w:r w:rsidRPr="00F7748E">
        <w:rPr>
          <w:rFonts w:cstheme="minorHAnsi"/>
          <w:spacing w:val="-4"/>
          <w:szCs w:val="20"/>
        </w:rPr>
        <w:t xml:space="preserve"> shows that t</w:t>
      </w:r>
      <w:r w:rsidRPr="00F7748E">
        <w:rPr>
          <w:rFonts w:cstheme="minorHAnsi"/>
          <w:szCs w:val="20"/>
        </w:rPr>
        <w:t>he median age of women with non-STI causes (BV/ Candidiasis) of VDS was 29 years (</w:t>
      </w:r>
      <w:r w:rsidR="006E01DB">
        <w:rPr>
          <w:rFonts w:cstheme="minorHAnsi"/>
          <w:szCs w:val="20"/>
        </w:rPr>
        <w:t xml:space="preserve">IQR </w:t>
      </w:r>
      <w:r w:rsidRPr="00F7748E">
        <w:rPr>
          <w:rFonts w:cstheme="minorHAnsi"/>
          <w:szCs w:val="20"/>
        </w:rPr>
        <w:t xml:space="preserve">24 to </w:t>
      </w:r>
      <w:r w:rsidR="00126868" w:rsidRPr="00F7748E">
        <w:rPr>
          <w:rFonts w:cstheme="minorHAnsi"/>
          <w:szCs w:val="20"/>
        </w:rPr>
        <w:t>36</w:t>
      </w:r>
      <w:r w:rsidRPr="00F7748E">
        <w:rPr>
          <w:rFonts w:cstheme="minorHAnsi"/>
          <w:szCs w:val="20"/>
        </w:rPr>
        <w:t>)</w:t>
      </w:r>
      <w:r w:rsidR="00E86E6D" w:rsidRPr="00F7748E">
        <w:rPr>
          <w:rFonts w:cstheme="minorHAnsi"/>
          <w:szCs w:val="20"/>
        </w:rPr>
        <w:t>; n=271</w:t>
      </w:r>
      <w:r w:rsidRPr="00F7748E">
        <w:rPr>
          <w:rFonts w:cstheme="minorHAnsi"/>
          <w:szCs w:val="20"/>
        </w:rPr>
        <w:t>, whereas that of women harbouring one or more STI pathogens was 26 years (</w:t>
      </w:r>
      <w:r w:rsidR="006E01DB">
        <w:rPr>
          <w:rFonts w:cstheme="minorHAnsi"/>
          <w:szCs w:val="20"/>
        </w:rPr>
        <w:t xml:space="preserve">IQR </w:t>
      </w:r>
      <w:r w:rsidRPr="00F7748E">
        <w:rPr>
          <w:rFonts w:cstheme="minorHAnsi"/>
          <w:szCs w:val="20"/>
        </w:rPr>
        <w:t>22 to 34)</w:t>
      </w:r>
      <w:r w:rsidR="00E86E6D" w:rsidRPr="00F7748E">
        <w:rPr>
          <w:rFonts w:cstheme="minorHAnsi"/>
          <w:szCs w:val="20"/>
        </w:rPr>
        <w:t>, n=87</w:t>
      </w:r>
      <w:r w:rsidRPr="00F7748E">
        <w:rPr>
          <w:rFonts w:cstheme="minorHAnsi"/>
          <w:szCs w:val="20"/>
        </w:rPr>
        <w:t>; the difference was not statistically significant</w:t>
      </w:r>
      <w:r w:rsidR="00E86E6D" w:rsidRPr="00F7748E">
        <w:rPr>
          <w:rFonts w:cstheme="minorHAnsi"/>
          <w:szCs w:val="20"/>
        </w:rPr>
        <w:t xml:space="preserve"> (p=0.095)</w:t>
      </w:r>
      <w:r w:rsidRPr="00F7748E">
        <w:rPr>
          <w:rFonts w:cstheme="minorHAnsi"/>
          <w:szCs w:val="20"/>
        </w:rPr>
        <w:t xml:space="preserve"> (801 VDS cases tested).</w:t>
      </w:r>
    </w:p>
    <w:p w:rsidR="00E86E6D" w:rsidRPr="00F7748E" w:rsidRDefault="00E86E6D" w:rsidP="00B61917">
      <w:pPr>
        <w:widowControl w:val="0"/>
        <w:autoSpaceDE w:val="0"/>
        <w:autoSpaceDN w:val="0"/>
        <w:adjustRightInd w:val="0"/>
        <w:spacing w:after="0" w:line="240" w:lineRule="auto"/>
        <w:jc w:val="both"/>
        <w:rPr>
          <w:rFonts w:cstheme="minorHAnsi"/>
          <w:spacing w:val="-4"/>
          <w:szCs w:val="20"/>
        </w:rPr>
      </w:pPr>
    </w:p>
    <w:p w:rsidR="00C8636B" w:rsidRDefault="00B61917" w:rsidP="00B61917">
      <w:pPr>
        <w:spacing w:after="0" w:line="240" w:lineRule="auto"/>
        <w:contextualSpacing/>
        <w:jc w:val="both"/>
        <w:rPr>
          <w:rFonts w:cstheme="minorHAnsi"/>
          <w:spacing w:val="-4"/>
          <w:szCs w:val="20"/>
        </w:rPr>
      </w:pPr>
      <w:r w:rsidRPr="00F7748E">
        <w:rPr>
          <w:rFonts w:cstheme="minorHAnsi"/>
          <w:b/>
          <w:i/>
          <w:spacing w:val="-4"/>
          <w:szCs w:val="20"/>
        </w:rPr>
        <w:t>Accuracy of using age to determine STI</w:t>
      </w:r>
      <w:r w:rsidR="00C721BB">
        <w:rPr>
          <w:rFonts w:cstheme="minorHAnsi"/>
          <w:b/>
          <w:i/>
          <w:spacing w:val="-4"/>
          <w:szCs w:val="20"/>
        </w:rPr>
        <w:t xml:space="preserve"> aetiology</w:t>
      </w:r>
      <w:r w:rsidRPr="00F7748E">
        <w:rPr>
          <w:rFonts w:cstheme="minorHAnsi"/>
          <w:b/>
          <w:i/>
          <w:spacing w:val="-4"/>
          <w:szCs w:val="20"/>
        </w:rPr>
        <w:t xml:space="preserve">: </w:t>
      </w:r>
      <w:r w:rsidR="00AB3ADA">
        <w:rPr>
          <w:rFonts w:cstheme="minorHAnsi"/>
          <w:b/>
          <w:i/>
          <w:spacing w:val="-4"/>
          <w:szCs w:val="20"/>
        </w:rPr>
        <w:t xml:space="preserve"> </w:t>
      </w:r>
      <w:r w:rsidRPr="00F7748E">
        <w:rPr>
          <w:rFonts w:cstheme="minorHAnsi"/>
          <w:spacing w:val="-4"/>
          <w:szCs w:val="20"/>
        </w:rPr>
        <w:t>Sub</w:t>
      </w:r>
      <w:r w:rsidR="00AB3ADA">
        <w:rPr>
          <w:rFonts w:cstheme="minorHAnsi"/>
          <w:spacing w:val="-4"/>
          <w:szCs w:val="20"/>
        </w:rPr>
        <w:t>-</w:t>
      </w:r>
      <w:r w:rsidRPr="00F7748E">
        <w:rPr>
          <w:rFonts w:cstheme="minorHAnsi"/>
          <w:spacing w:val="-4"/>
          <w:szCs w:val="20"/>
        </w:rPr>
        <w:t>analys</w:t>
      </w:r>
      <w:r w:rsidR="00D42E8C">
        <w:rPr>
          <w:rFonts w:cstheme="minorHAnsi"/>
          <w:spacing w:val="-4"/>
          <w:szCs w:val="20"/>
        </w:rPr>
        <w:t>i</w:t>
      </w:r>
      <w:r w:rsidRPr="00F7748E">
        <w:rPr>
          <w:rFonts w:cstheme="minorHAnsi"/>
          <w:spacing w:val="-4"/>
          <w:szCs w:val="20"/>
        </w:rPr>
        <w:t>s of the national aetiology sentinel (NAS) surveillance data (April 2014 – September 2015) suggest</w:t>
      </w:r>
      <w:r w:rsidR="00D42E8C">
        <w:rPr>
          <w:rFonts w:cstheme="minorHAnsi"/>
          <w:spacing w:val="-4"/>
          <w:szCs w:val="20"/>
        </w:rPr>
        <w:t xml:space="preserve">s </w:t>
      </w:r>
      <w:r w:rsidRPr="00F7748E">
        <w:rPr>
          <w:rFonts w:cstheme="minorHAnsi"/>
          <w:spacing w:val="-4"/>
          <w:szCs w:val="20"/>
        </w:rPr>
        <w:t>that the overall accuracy</w:t>
      </w:r>
      <w:r w:rsidR="00D42E8C">
        <w:rPr>
          <w:rFonts w:cstheme="minorHAnsi"/>
          <w:spacing w:val="-4"/>
          <w:szCs w:val="20"/>
        </w:rPr>
        <w:t xml:space="preserve"> (area under the ROC curve)</w:t>
      </w:r>
      <w:r w:rsidRPr="00F7748E">
        <w:rPr>
          <w:rFonts w:cstheme="minorHAnsi"/>
          <w:spacing w:val="-4"/>
          <w:szCs w:val="20"/>
        </w:rPr>
        <w:t xml:space="preserve"> of using age </w:t>
      </w:r>
      <w:r w:rsidR="00C721BB">
        <w:rPr>
          <w:rFonts w:cstheme="minorHAnsi"/>
          <w:spacing w:val="-4"/>
          <w:szCs w:val="20"/>
        </w:rPr>
        <w:t xml:space="preserve">to predict presence of </w:t>
      </w:r>
      <w:r w:rsidRPr="00F7748E">
        <w:rPr>
          <w:rFonts w:cstheme="minorHAnsi"/>
          <w:spacing w:val="-4"/>
          <w:szCs w:val="20"/>
        </w:rPr>
        <w:t xml:space="preserve">GC/CT infections </w:t>
      </w:r>
      <w:r w:rsidR="00C721BB">
        <w:rPr>
          <w:rFonts w:cstheme="minorHAnsi"/>
          <w:spacing w:val="-4"/>
          <w:szCs w:val="20"/>
        </w:rPr>
        <w:t>was</w:t>
      </w:r>
      <w:r w:rsidR="00C8636B">
        <w:rPr>
          <w:rFonts w:cstheme="minorHAnsi"/>
          <w:spacing w:val="-4"/>
          <w:szCs w:val="20"/>
        </w:rPr>
        <w:t xml:space="preserve"> only</w:t>
      </w:r>
      <w:r w:rsidRPr="00F7748E">
        <w:rPr>
          <w:rFonts w:cstheme="minorHAnsi"/>
          <w:spacing w:val="-4"/>
          <w:szCs w:val="20"/>
        </w:rPr>
        <w:t xml:space="preserve"> 66.2% (95% CI 61.6 to 70.7%). </w:t>
      </w:r>
      <w:r w:rsidR="00D42E8C">
        <w:rPr>
          <w:rFonts w:cstheme="minorHAnsi"/>
          <w:spacing w:val="-4"/>
          <w:szCs w:val="20"/>
        </w:rPr>
        <w:lastRenderedPageBreak/>
        <w:t xml:space="preserve">Details of this analysis, using data from the NAS survey </w:t>
      </w:r>
      <w:r w:rsidR="00AB3ADA">
        <w:rPr>
          <w:rFonts w:cstheme="minorHAnsi"/>
          <w:spacing w:val="-4"/>
          <w:szCs w:val="20"/>
        </w:rPr>
        <w:t xml:space="preserve">and </w:t>
      </w:r>
      <w:r w:rsidR="00AB3ADA" w:rsidRPr="00F7748E">
        <w:rPr>
          <w:rFonts w:cstheme="minorHAnsi"/>
          <w:spacing w:val="-4"/>
          <w:szCs w:val="20"/>
        </w:rPr>
        <w:t>provided</w:t>
      </w:r>
      <w:r w:rsidRPr="00F7748E">
        <w:rPr>
          <w:rFonts w:cstheme="minorHAnsi"/>
          <w:spacing w:val="-4"/>
          <w:szCs w:val="20"/>
        </w:rPr>
        <w:t xml:space="preserve"> by NICD (embargoed, to be published)</w:t>
      </w:r>
      <w:r w:rsidR="00AB3ADA">
        <w:rPr>
          <w:rFonts w:cstheme="minorHAnsi"/>
          <w:spacing w:val="-4"/>
          <w:szCs w:val="20"/>
        </w:rPr>
        <w:t xml:space="preserve"> </w:t>
      </w:r>
      <w:r w:rsidR="00C8636B">
        <w:rPr>
          <w:rFonts w:cstheme="minorHAnsi"/>
          <w:spacing w:val="-4"/>
          <w:szCs w:val="20"/>
        </w:rPr>
        <w:t>appe</w:t>
      </w:r>
      <w:r w:rsidR="00B7161D">
        <w:rPr>
          <w:rFonts w:cstheme="minorHAnsi"/>
          <w:spacing w:val="-4"/>
          <w:szCs w:val="20"/>
        </w:rPr>
        <w:t>a</w:t>
      </w:r>
      <w:r w:rsidR="00C8636B">
        <w:rPr>
          <w:rFonts w:cstheme="minorHAnsi"/>
          <w:spacing w:val="-4"/>
          <w:szCs w:val="20"/>
        </w:rPr>
        <w:t>r in the table</w:t>
      </w:r>
      <w:r w:rsidR="00B7161D">
        <w:rPr>
          <w:rFonts w:cstheme="minorHAnsi"/>
          <w:spacing w:val="-4"/>
          <w:szCs w:val="20"/>
        </w:rPr>
        <w:t xml:space="preserve"> and figure</w:t>
      </w:r>
      <w:r w:rsidR="00C8636B">
        <w:rPr>
          <w:rFonts w:cstheme="minorHAnsi"/>
          <w:spacing w:val="-4"/>
          <w:szCs w:val="20"/>
        </w:rPr>
        <w:t xml:space="preserve"> below:</w:t>
      </w:r>
    </w:p>
    <w:p w:rsidR="00B61917" w:rsidRPr="00F7748E" w:rsidRDefault="00B61917" w:rsidP="00B61917">
      <w:pPr>
        <w:spacing w:after="0" w:line="240" w:lineRule="auto"/>
        <w:contextualSpacing/>
        <w:jc w:val="both"/>
        <w:rPr>
          <w:rFonts w:cstheme="minorHAnsi"/>
          <w:szCs w:val="20"/>
        </w:rPr>
      </w:pPr>
    </w:p>
    <w:p w:rsidR="00B61917" w:rsidRPr="00F7748E" w:rsidRDefault="00B61917" w:rsidP="00B61917">
      <w:pPr>
        <w:spacing w:after="0" w:line="240" w:lineRule="auto"/>
        <w:rPr>
          <w:rFonts w:cstheme="minorHAnsi"/>
          <w:b/>
          <w:sz w:val="18"/>
          <w:szCs w:val="16"/>
        </w:rPr>
      </w:pPr>
      <w:r w:rsidRPr="00F7748E">
        <w:rPr>
          <w:rFonts w:cstheme="minorHAnsi"/>
          <w:b/>
          <w:sz w:val="18"/>
          <w:szCs w:val="16"/>
        </w:rPr>
        <w:t xml:space="preserve">Performance of different age cut offs for </w:t>
      </w:r>
      <w:r w:rsidR="00C721BB">
        <w:rPr>
          <w:rFonts w:cstheme="minorHAnsi"/>
          <w:b/>
          <w:sz w:val="18"/>
          <w:szCs w:val="16"/>
        </w:rPr>
        <w:t xml:space="preserve">diagnosis of </w:t>
      </w:r>
      <w:r w:rsidRPr="00F7748E">
        <w:rPr>
          <w:rFonts w:cstheme="minorHAnsi"/>
          <w:b/>
          <w:sz w:val="18"/>
          <w:szCs w:val="16"/>
        </w:rPr>
        <w:t>GC/CT infections</w:t>
      </w:r>
    </w:p>
    <w:tbl>
      <w:tblPr>
        <w:tblStyle w:val="TableGrid"/>
        <w:tblW w:w="0" w:type="auto"/>
        <w:tblLook w:val="04A0"/>
      </w:tblPr>
      <w:tblGrid>
        <w:gridCol w:w="2153"/>
        <w:gridCol w:w="2153"/>
        <w:gridCol w:w="2153"/>
        <w:gridCol w:w="2154"/>
      </w:tblGrid>
      <w:tr w:rsidR="00B61917" w:rsidRPr="00F7748E" w:rsidTr="00392243">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Age cut offs</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Sensitivity of picking up GC/CT (%)</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Specificity of picking up GC/CT (%)</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Correctly classified</w:t>
            </w:r>
          </w:p>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w:t>
            </w:r>
          </w:p>
        </w:tc>
      </w:tr>
      <w:tr w:rsidR="00B61917" w:rsidRPr="00F7748E" w:rsidTr="00392243">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eastAsia="Times New Roman" w:hAnsiTheme="minorHAnsi" w:cstheme="minorHAnsi"/>
                <w:color w:val="000000" w:themeColor="text1"/>
                <w:kern w:val="24"/>
                <w:sz w:val="18"/>
                <w:szCs w:val="16"/>
              </w:rPr>
              <w:t>&gt;=50</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100</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0.0</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20.9</w:t>
            </w:r>
          </w:p>
        </w:tc>
      </w:tr>
      <w:tr w:rsidR="00B61917" w:rsidRPr="00F7748E" w:rsidTr="00392243">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eastAsia="Times New Roman" w:hAnsiTheme="minorHAnsi" w:cstheme="minorHAnsi"/>
                <w:color w:val="000000" w:themeColor="text1"/>
                <w:kern w:val="24"/>
                <w:sz w:val="18"/>
                <w:szCs w:val="16"/>
              </w:rPr>
              <w:t xml:space="preserve">47 - 49 </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95.6</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11.9</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29.3</w:t>
            </w:r>
          </w:p>
        </w:tc>
      </w:tr>
      <w:tr w:rsidR="00B61917" w:rsidRPr="00F7748E" w:rsidTr="00392243">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eastAsia="Times New Roman" w:hAnsiTheme="minorHAnsi" w:cstheme="minorHAnsi"/>
                <w:color w:val="000000" w:themeColor="text1"/>
                <w:kern w:val="24"/>
                <w:sz w:val="18"/>
                <w:szCs w:val="16"/>
              </w:rPr>
              <w:t>44 - 46</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94.9</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16.4</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32.8</w:t>
            </w:r>
          </w:p>
        </w:tc>
      </w:tr>
      <w:tr w:rsidR="00B61917" w:rsidRPr="00F7748E" w:rsidTr="00392243">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eastAsia="Times New Roman" w:hAnsiTheme="minorHAnsi" w:cstheme="minorHAnsi"/>
                <w:color w:val="000000" w:themeColor="text1"/>
                <w:kern w:val="24"/>
                <w:sz w:val="18"/>
                <w:szCs w:val="16"/>
              </w:rPr>
              <w:t>41 - 43</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94.3</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21.0</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36.3</w:t>
            </w:r>
          </w:p>
        </w:tc>
      </w:tr>
      <w:tr w:rsidR="00B61917" w:rsidRPr="00F7748E" w:rsidTr="00392243">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eastAsia="Times New Roman" w:hAnsiTheme="minorHAnsi" w:cstheme="minorHAnsi"/>
                <w:color w:val="000000" w:themeColor="text1"/>
                <w:kern w:val="24"/>
                <w:sz w:val="18"/>
                <w:szCs w:val="16"/>
              </w:rPr>
              <w:t xml:space="preserve">38 - 40 </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91.8</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25.5</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39.4</w:t>
            </w:r>
          </w:p>
        </w:tc>
      </w:tr>
      <w:tr w:rsidR="00B61917" w:rsidRPr="00F7748E" w:rsidTr="00392243">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eastAsia="Times New Roman" w:hAnsiTheme="minorHAnsi" w:cstheme="minorHAnsi"/>
                <w:color w:val="000000" w:themeColor="text1"/>
                <w:kern w:val="24"/>
                <w:sz w:val="18"/>
                <w:szCs w:val="16"/>
              </w:rPr>
              <w:t>35 - 37</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89.2</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30.7</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42.9</w:t>
            </w:r>
          </w:p>
        </w:tc>
      </w:tr>
      <w:tr w:rsidR="00B61917" w:rsidRPr="00F7748E" w:rsidTr="00392243">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eastAsia="Times New Roman" w:hAnsiTheme="minorHAnsi" w:cstheme="minorHAnsi"/>
                <w:color w:val="000000" w:themeColor="text1"/>
                <w:kern w:val="24"/>
                <w:sz w:val="18"/>
                <w:szCs w:val="16"/>
              </w:rPr>
              <w:t>32 - 34</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83.5</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38.4</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47.8</w:t>
            </w:r>
          </w:p>
        </w:tc>
      </w:tr>
      <w:tr w:rsidR="00B61917" w:rsidRPr="00F7748E" w:rsidTr="00392243">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eastAsia="Times New Roman" w:hAnsiTheme="minorHAnsi" w:cstheme="minorHAnsi"/>
                <w:color w:val="000000" w:themeColor="text1"/>
                <w:kern w:val="24"/>
                <w:sz w:val="18"/>
                <w:szCs w:val="16"/>
              </w:rPr>
              <w:t>29 - 31</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75.3</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47.4</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53.2</w:t>
            </w:r>
          </w:p>
        </w:tc>
      </w:tr>
      <w:tr w:rsidR="00B61917" w:rsidRPr="00F7748E" w:rsidTr="00392243">
        <w:tc>
          <w:tcPr>
            <w:tcW w:w="2153" w:type="dxa"/>
          </w:tcPr>
          <w:p w:rsidR="00B61917" w:rsidRPr="00F7748E" w:rsidRDefault="00B61917" w:rsidP="00392243">
            <w:pPr>
              <w:contextualSpacing/>
              <w:jc w:val="right"/>
              <w:rPr>
                <w:rFonts w:asciiTheme="minorHAnsi" w:eastAsia="Times New Roman" w:hAnsiTheme="minorHAnsi" w:cstheme="minorHAnsi"/>
                <w:color w:val="000000" w:themeColor="text1"/>
                <w:kern w:val="24"/>
                <w:sz w:val="18"/>
                <w:szCs w:val="16"/>
              </w:rPr>
            </w:pPr>
            <w:r w:rsidRPr="00F7748E">
              <w:rPr>
                <w:rFonts w:asciiTheme="minorHAnsi" w:eastAsia="Times New Roman" w:hAnsiTheme="minorHAnsi" w:cstheme="minorHAnsi"/>
                <w:color w:val="000000" w:themeColor="text1"/>
                <w:kern w:val="24"/>
                <w:sz w:val="18"/>
                <w:szCs w:val="16"/>
              </w:rPr>
              <w:t>26 - 28</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64.6</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57.6</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59.1</w:t>
            </w:r>
          </w:p>
        </w:tc>
      </w:tr>
      <w:tr w:rsidR="00B61917" w:rsidRPr="00F7748E" w:rsidTr="00392243">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eastAsia="Times New Roman" w:hAnsiTheme="minorHAnsi" w:cstheme="minorHAnsi"/>
                <w:color w:val="000000" w:themeColor="text1"/>
                <w:kern w:val="24"/>
                <w:sz w:val="18"/>
                <w:szCs w:val="16"/>
              </w:rPr>
              <w:t>24 - 25</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53.8</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69.3</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66.1</w:t>
            </w:r>
          </w:p>
        </w:tc>
      </w:tr>
      <w:tr w:rsidR="00B61917" w:rsidRPr="00F7748E" w:rsidTr="00392243">
        <w:tc>
          <w:tcPr>
            <w:tcW w:w="2153" w:type="dxa"/>
          </w:tcPr>
          <w:p w:rsidR="00B61917" w:rsidRPr="00F7748E" w:rsidRDefault="00B61917" w:rsidP="00392243">
            <w:pPr>
              <w:contextualSpacing/>
              <w:jc w:val="right"/>
              <w:rPr>
                <w:rFonts w:asciiTheme="minorHAnsi" w:eastAsia="Times New Roman" w:hAnsiTheme="minorHAnsi" w:cstheme="minorHAnsi"/>
                <w:color w:val="000000" w:themeColor="text1"/>
                <w:kern w:val="24"/>
                <w:sz w:val="18"/>
                <w:szCs w:val="16"/>
              </w:rPr>
            </w:pPr>
            <w:r w:rsidRPr="00F7748E">
              <w:rPr>
                <w:rFonts w:asciiTheme="minorHAnsi" w:eastAsia="Times New Roman" w:hAnsiTheme="minorHAnsi" w:cstheme="minorHAnsi"/>
                <w:color w:val="000000" w:themeColor="text1"/>
                <w:kern w:val="24"/>
                <w:sz w:val="18"/>
                <w:szCs w:val="16"/>
              </w:rPr>
              <w:t>22 - 23</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40.5</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78.6</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70.7</w:t>
            </w:r>
          </w:p>
        </w:tc>
      </w:tr>
      <w:tr w:rsidR="00B61917" w:rsidRPr="00F7748E" w:rsidTr="00392243">
        <w:tc>
          <w:tcPr>
            <w:tcW w:w="2153" w:type="dxa"/>
          </w:tcPr>
          <w:p w:rsidR="00B61917" w:rsidRPr="00F7748E" w:rsidRDefault="00B61917" w:rsidP="00392243">
            <w:pPr>
              <w:contextualSpacing/>
              <w:jc w:val="right"/>
              <w:rPr>
                <w:rFonts w:asciiTheme="minorHAnsi" w:eastAsia="Times New Roman" w:hAnsiTheme="minorHAnsi" w:cstheme="minorHAnsi"/>
                <w:color w:val="000000" w:themeColor="text1"/>
                <w:kern w:val="24"/>
                <w:sz w:val="18"/>
                <w:szCs w:val="16"/>
              </w:rPr>
            </w:pPr>
            <w:r w:rsidRPr="00F7748E">
              <w:rPr>
                <w:rFonts w:asciiTheme="minorHAnsi" w:eastAsia="Times New Roman" w:hAnsiTheme="minorHAnsi" w:cstheme="minorHAnsi"/>
                <w:color w:val="000000" w:themeColor="text1"/>
                <w:kern w:val="24"/>
                <w:sz w:val="18"/>
                <w:szCs w:val="16"/>
              </w:rPr>
              <w:t>20 - 21</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27.9</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86.5</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74.2</w:t>
            </w:r>
          </w:p>
        </w:tc>
      </w:tr>
      <w:tr w:rsidR="00B61917" w:rsidRPr="00F7748E" w:rsidTr="00392243">
        <w:tc>
          <w:tcPr>
            <w:tcW w:w="2153" w:type="dxa"/>
          </w:tcPr>
          <w:p w:rsidR="00B61917" w:rsidRPr="00F7748E" w:rsidRDefault="00B61917" w:rsidP="00392243">
            <w:pPr>
              <w:contextualSpacing/>
              <w:jc w:val="right"/>
              <w:rPr>
                <w:rFonts w:asciiTheme="minorHAnsi" w:eastAsia="Times New Roman" w:hAnsiTheme="minorHAnsi" w:cstheme="minorHAnsi"/>
                <w:color w:val="000000" w:themeColor="text1"/>
                <w:kern w:val="24"/>
                <w:sz w:val="18"/>
                <w:szCs w:val="16"/>
              </w:rPr>
            </w:pPr>
            <w:r w:rsidRPr="00F7748E">
              <w:rPr>
                <w:rFonts w:asciiTheme="minorHAnsi" w:eastAsia="Times New Roman" w:hAnsiTheme="minorHAnsi" w:cstheme="minorHAnsi"/>
                <w:color w:val="000000" w:themeColor="text1"/>
                <w:kern w:val="24"/>
                <w:sz w:val="18"/>
                <w:szCs w:val="16"/>
              </w:rPr>
              <w:t>18 - 20</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15.8</w:t>
            </w:r>
          </w:p>
        </w:tc>
        <w:tc>
          <w:tcPr>
            <w:tcW w:w="2153"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97.8</w:t>
            </w:r>
          </w:p>
        </w:tc>
        <w:tc>
          <w:tcPr>
            <w:tcW w:w="2154" w:type="dxa"/>
          </w:tcPr>
          <w:p w:rsidR="00B61917" w:rsidRPr="00F7748E" w:rsidRDefault="00B61917" w:rsidP="00392243">
            <w:pPr>
              <w:jc w:val="right"/>
              <w:rPr>
                <w:rFonts w:asciiTheme="minorHAnsi" w:hAnsiTheme="minorHAnsi" w:cstheme="minorHAnsi"/>
                <w:sz w:val="18"/>
                <w:szCs w:val="16"/>
              </w:rPr>
            </w:pPr>
            <w:r w:rsidRPr="00F7748E">
              <w:rPr>
                <w:rFonts w:asciiTheme="minorHAnsi" w:hAnsiTheme="minorHAnsi" w:cstheme="minorHAnsi"/>
                <w:sz w:val="18"/>
                <w:szCs w:val="16"/>
              </w:rPr>
              <w:t>77.4</w:t>
            </w:r>
          </w:p>
        </w:tc>
      </w:tr>
    </w:tbl>
    <w:p w:rsidR="00B61917" w:rsidRPr="00F7748E" w:rsidRDefault="00B61917" w:rsidP="00B61917">
      <w:pPr>
        <w:spacing w:after="0" w:line="240" w:lineRule="auto"/>
        <w:rPr>
          <w:rFonts w:cstheme="minorHAnsi"/>
          <w:sz w:val="18"/>
          <w:szCs w:val="16"/>
        </w:rPr>
      </w:pPr>
      <w:r w:rsidRPr="00F7748E">
        <w:rPr>
          <w:rFonts w:cstheme="minorHAnsi"/>
          <w:sz w:val="18"/>
          <w:szCs w:val="16"/>
        </w:rPr>
        <w:t>Overall accuracy of using age for determining GC/CT infections = 66.2% (95% CI 61.6- 70.7%)</w:t>
      </w:r>
    </w:p>
    <w:p w:rsidR="00B61917" w:rsidRPr="00F7748E" w:rsidRDefault="00B61917" w:rsidP="00B61917">
      <w:pPr>
        <w:spacing w:after="0" w:line="240" w:lineRule="auto"/>
        <w:rPr>
          <w:rFonts w:cstheme="minorHAnsi"/>
          <w:sz w:val="18"/>
          <w:szCs w:val="16"/>
        </w:rPr>
      </w:pPr>
    </w:p>
    <w:p w:rsidR="00B61917" w:rsidRPr="00F7748E" w:rsidRDefault="00B61917" w:rsidP="00B61917">
      <w:pPr>
        <w:spacing w:after="0" w:line="240" w:lineRule="auto"/>
        <w:rPr>
          <w:rFonts w:cstheme="minorHAnsi"/>
          <w:b/>
          <w:sz w:val="18"/>
          <w:szCs w:val="16"/>
        </w:rPr>
      </w:pPr>
      <w:r w:rsidRPr="00F7748E">
        <w:rPr>
          <w:rFonts w:cstheme="minorHAnsi"/>
          <w:b/>
          <w:sz w:val="18"/>
          <w:szCs w:val="16"/>
        </w:rPr>
        <w:t xml:space="preserve">ROC curve for performance of increasing age in determining GC/CT infections </w:t>
      </w:r>
    </w:p>
    <w:p w:rsidR="00B61917" w:rsidRPr="00F7748E" w:rsidRDefault="00B61917" w:rsidP="00B61917">
      <w:pPr>
        <w:spacing w:after="0"/>
        <w:rPr>
          <w:sz w:val="24"/>
        </w:rPr>
      </w:pPr>
      <w:r w:rsidRPr="00F7748E">
        <w:rPr>
          <w:noProof/>
          <w:sz w:val="24"/>
          <w:lang w:eastAsia="en-GB"/>
        </w:rPr>
        <w:drawing>
          <wp:inline distT="0" distB="0" distL="0" distR="0">
            <wp:extent cx="3232484" cy="2362200"/>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0956" cy="2361083"/>
                    </a:xfrm>
                    <a:prstGeom prst="rect">
                      <a:avLst/>
                    </a:prstGeom>
                    <a:noFill/>
                    <a:ln>
                      <a:noFill/>
                    </a:ln>
                  </pic:spPr>
                </pic:pic>
              </a:graphicData>
            </a:graphic>
          </wp:inline>
        </w:drawing>
      </w:r>
    </w:p>
    <w:p w:rsidR="00B61917" w:rsidRPr="00F7748E" w:rsidRDefault="00B61917" w:rsidP="00B61917">
      <w:pPr>
        <w:spacing w:after="0" w:line="240" w:lineRule="auto"/>
        <w:contextualSpacing/>
        <w:rPr>
          <w:rFonts w:eastAsia="Times New Roman"/>
          <w:color w:val="000000"/>
          <w:sz w:val="18"/>
          <w:lang w:eastAsia="en-ZA"/>
        </w:rPr>
      </w:pPr>
      <w:r w:rsidRPr="00F7748E">
        <w:rPr>
          <w:rFonts w:eastAsia="Times New Roman"/>
          <w:color w:val="000000"/>
          <w:sz w:val="18"/>
          <w:lang w:eastAsia="en-ZA"/>
        </w:rPr>
        <w:t>A ROC curve demonstrates several things:</w:t>
      </w:r>
    </w:p>
    <w:p w:rsidR="00B61917" w:rsidRPr="00F7748E" w:rsidRDefault="00B61917" w:rsidP="00B61917">
      <w:pPr>
        <w:numPr>
          <w:ilvl w:val="0"/>
          <w:numId w:val="6"/>
        </w:numPr>
        <w:spacing w:after="0" w:line="240" w:lineRule="auto"/>
        <w:contextualSpacing/>
        <w:rPr>
          <w:rFonts w:eastAsia="Times New Roman"/>
          <w:color w:val="000000"/>
          <w:sz w:val="18"/>
          <w:lang w:eastAsia="en-ZA"/>
        </w:rPr>
      </w:pPr>
      <w:r w:rsidRPr="00F7748E">
        <w:rPr>
          <w:rFonts w:eastAsia="Times New Roman"/>
          <w:color w:val="000000"/>
          <w:sz w:val="18"/>
          <w:lang w:eastAsia="en-ZA"/>
        </w:rPr>
        <w:t xml:space="preserve">It shows the trade-off between sensitivity and specificity (any increase in sensitivity will be accompanied by a decrease in specificity). </w:t>
      </w:r>
    </w:p>
    <w:p w:rsidR="00B61917" w:rsidRPr="00F7748E" w:rsidRDefault="00B61917" w:rsidP="00B61917">
      <w:pPr>
        <w:numPr>
          <w:ilvl w:val="0"/>
          <w:numId w:val="6"/>
        </w:numPr>
        <w:spacing w:after="0" w:line="240" w:lineRule="auto"/>
        <w:contextualSpacing/>
        <w:rPr>
          <w:rFonts w:eastAsia="Times New Roman"/>
          <w:color w:val="000000"/>
          <w:sz w:val="18"/>
          <w:lang w:eastAsia="en-ZA"/>
        </w:rPr>
      </w:pPr>
      <w:r w:rsidRPr="00F7748E">
        <w:rPr>
          <w:rFonts w:eastAsia="Times New Roman"/>
          <w:color w:val="000000"/>
          <w:sz w:val="18"/>
          <w:lang w:eastAsia="en-ZA"/>
        </w:rPr>
        <w:t xml:space="preserve">The closer the curve follows the left-hand border and then the top border of the ROC space, the more accurate the test. </w:t>
      </w:r>
    </w:p>
    <w:p w:rsidR="00B61917" w:rsidRPr="00F7748E" w:rsidRDefault="00B61917" w:rsidP="00B61917">
      <w:pPr>
        <w:numPr>
          <w:ilvl w:val="0"/>
          <w:numId w:val="6"/>
        </w:numPr>
        <w:spacing w:after="0" w:line="240" w:lineRule="auto"/>
        <w:contextualSpacing/>
        <w:rPr>
          <w:rFonts w:eastAsia="Times New Roman"/>
          <w:color w:val="000000"/>
          <w:sz w:val="18"/>
          <w:lang w:eastAsia="en-ZA"/>
        </w:rPr>
      </w:pPr>
      <w:r w:rsidRPr="00F7748E">
        <w:rPr>
          <w:rFonts w:eastAsia="Times New Roman"/>
          <w:color w:val="000000"/>
          <w:sz w:val="18"/>
          <w:lang w:eastAsia="en-ZA"/>
        </w:rPr>
        <w:t xml:space="preserve">The closer the curve comes to the 45-degree diagonal of the ROC space, the less accurate the test. </w:t>
      </w:r>
    </w:p>
    <w:p w:rsidR="00B61917" w:rsidRPr="00F7748E" w:rsidRDefault="00B61917" w:rsidP="00B61917">
      <w:pPr>
        <w:numPr>
          <w:ilvl w:val="0"/>
          <w:numId w:val="6"/>
        </w:numPr>
        <w:spacing w:after="0" w:line="240" w:lineRule="auto"/>
        <w:contextualSpacing/>
        <w:rPr>
          <w:rFonts w:eastAsia="Times New Roman"/>
          <w:color w:val="000000"/>
          <w:sz w:val="18"/>
          <w:lang w:eastAsia="en-ZA"/>
        </w:rPr>
      </w:pPr>
      <w:r w:rsidRPr="00F7748E">
        <w:rPr>
          <w:rFonts w:eastAsia="Times New Roman"/>
          <w:color w:val="000000"/>
          <w:sz w:val="18"/>
          <w:lang w:eastAsia="en-ZA"/>
        </w:rPr>
        <w:t xml:space="preserve">The area under the curve is a measure of test accuracy. </w:t>
      </w:r>
    </w:p>
    <w:p w:rsidR="00C003F4" w:rsidRPr="00F7748E" w:rsidRDefault="00C003F4" w:rsidP="00B61917">
      <w:pPr>
        <w:spacing w:after="0" w:line="240" w:lineRule="auto"/>
        <w:jc w:val="both"/>
        <w:rPr>
          <w:b/>
          <w:szCs w:val="20"/>
        </w:rPr>
      </w:pPr>
    </w:p>
    <w:p w:rsidR="00B61917" w:rsidRPr="00AB3ADA" w:rsidRDefault="000E4F85" w:rsidP="00100D69">
      <w:pPr>
        <w:widowControl w:val="0"/>
        <w:autoSpaceDE w:val="0"/>
        <w:autoSpaceDN w:val="0"/>
        <w:adjustRightInd w:val="0"/>
        <w:spacing w:after="0" w:line="240" w:lineRule="auto"/>
        <w:jc w:val="both"/>
        <w:rPr>
          <w:rFonts w:cstheme="minorHAnsi"/>
          <w:b/>
          <w:spacing w:val="-4"/>
        </w:rPr>
      </w:pPr>
      <w:r w:rsidRPr="00AB3ADA">
        <w:rPr>
          <w:rFonts w:cstheme="minorHAnsi"/>
          <w:b/>
          <w:spacing w:val="-4"/>
        </w:rPr>
        <w:t xml:space="preserve">B: </w:t>
      </w:r>
      <w:r w:rsidR="00531E6C" w:rsidRPr="00AB3ADA">
        <w:rPr>
          <w:rFonts w:cstheme="minorHAnsi"/>
          <w:b/>
          <w:spacing w:val="-4"/>
        </w:rPr>
        <w:t>SEXUAL ACTIVITY</w:t>
      </w:r>
      <w:r w:rsidRPr="00AB3ADA">
        <w:rPr>
          <w:rFonts w:cstheme="minorHAnsi"/>
          <w:b/>
          <w:spacing w:val="-4"/>
        </w:rPr>
        <w:t xml:space="preserve"> AS A CRITERION</w:t>
      </w:r>
      <w:r w:rsidR="007C3C8D" w:rsidRPr="00AB3ADA">
        <w:rPr>
          <w:rFonts w:cstheme="minorHAnsi"/>
          <w:b/>
          <w:spacing w:val="-4"/>
        </w:rPr>
        <w:t>:</w:t>
      </w:r>
    </w:p>
    <w:p w:rsidR="00C003F4" w:rsidRPr="00F7748E" w:rsidRDefault="00436F84" w:rsidP="00436F84">
      <w:pPr>
        <w:widowControl w:val="0"/>
        <w:autoSpaceDE w:val="0"/>
        <w:autoSpaceDN w:val="0"/>
        <w:adjustRightInd w:val="0"/>
        <w:spacing w:after="0" w:line="240" w:lineRule="auto"/>
        <w:jc w:val="both"/>
        <w:rPr>
          <w:rFonts w:cstheme="minorHAnsi"/>
          <w:spacing w:val="-4"/>
          <w:szCs w:val="20"/>
        </w:rPr>
      </w:pPr>
      <w:r w:rsidRPr="00F7748E">
        <w:rPr>
          <w:rFonts w:cstheme="minorHAnsi"/>
          <w:b/>
          <w:i/>
          <w:spacing w:val="-4"/>
          <w:szCs w:val="20"/>
        </w:rPr>
        <w:t>Sexual risk behaviour:</w:t>
      </w:r>
      <w:r w:rsidRPr="00F7748E">
        <w:rPr>
          <w:rFonts w:cstheme="minorHAnsi"/>
          <w:spacing w:val="-4"/>
          <w:szCs w:val="20"/>
        </w:rPr>
        <w:t>The local NAS surveillance data</w:t>
      </w:r>
      <w:r w:rsidRPr="00F7748E">
        <w:rPr>
          <w:rStyle w:val="FootnoteReference"/>
          <w:rFonts w:cstheme="minorHAnsi"/>
          <w:spacing w:val="-4"/>
          <w:szCs w:val="20"/>
        </w:rPr>
        <w:footnoteReference w:id="4"/>
      </w:r>
      <w:r w:rsidRPr="00F7748E">
        <w:rPr>
          <w:rFonts w:cstheme="minorHAnsi"/>
          <w:spacing w:val="-4"/>
          <w:szCs w:val="20"/>
        </w:rPr>
        <w:t xml:space="preserve"> showed that condom use at the last sexual encounter showed no significant difference between the group infected with STIs (42.4%) </w:t>
      </w:r>
      <w:r w:rsidRPr="00F7748E">
        <w:rPr>
          <w:rFonts w:cstheme="minorHAnsi"/>
          <w:i/>
          <w:spacing w:val="-4"/>
          <w:szCs w:val="20"/>
        </w:rPr>
        <w:t>vs.</w:t>
      </w:r>
      <w:r w:rsidRPr="00F7748E">
        <w:rPr>
          <w:rFonts w:cstheme="minorHAnsi"/>
          <w:spacing w:val="-4"/>
          <w:szCs w:val="20"/>
        </w:rPr>
        <w:t xml:space="preserve"> not infected with STIs (36.7%); Sexual partner from another province in the last 3 months showed no significant difference between the groups (11.6% vs. 9.3%); Sexual partner from another country in the last 3 months showed no significant difference (7.0% vs. 6.6%); History of any STI syndrome in last 12 months, 43% vs. 47%, respectively, no significant difference. </w:t>
      </w:r>
    </w:p>
    <w:p w:rsidR="00436F84" w:rsidRPr="00F7748E" w:rsidRDefault="00C003F4" w:rsidP="00436F84">
      <w:pPr>
        <w:widowControl w:val="0"/>
        <w:autoSpaceDE w:val="0"/>
        <w:autoSpaceDN w:val="0"/>
        <w:adjustRightInd w:val="0"/>
        <w:spacing w:after="0" w:line="240" w:lineRule="auto"/>
        <w:jc w:val="both"/>
        <w:rPr>
          <w:rFonts w:cstheme="minorHAnsi"/>
          <w:spacing w:val="-4"/>
          <w:szCs w:val="20"/>
        </w:rPr>
      </w:pPr>
      <w:r w:rsidRPr="00F7748E">
        <w:rPr>
          <w:rFonts w:cstheme="minorHAnsi"/>
          <w:b/>
          <w:i/>
          <w:spacing w:val="-4"/>
          <w:szCs w:val="20"/>
        </w:rPr>
        <w:t>Rational antibiotic use:</w:t>
      </w:r>
      <w:r w:rsidR="00AB3ADA">
        <w:rPr>
          <w:rFonts w:cstheme="minorHAnsi"/>
          <w:b/>
          <w:i/>
          <w:spacing w:val="-4"/>
          <w:szCs w:val="20"/>
        </w:rPr>
        <w:t xml:space="preserve"> </w:t>
      </w:r>
      <w:r w:rsidR="007F7199" w:rsidRPr="00F7748E">
        <w:rPr>
          <w:rFonts w:cstheme="minorHAnsi"/>
          <w:spacing w:val="-4"/>
          <w:szCs w:val="20"/>
        </w:rPr>
        <w:t>T</w:t>
      </w:r>
      <w:r w:rsidR="00A13596" w:rsidRPr="00F7748E">
        <w:rPr>
          <w:rFonts w:cstheme="minorHAnsi"/>
          <w:spacing w:val="-4"/>
          <w:szCs w:val="20"/>
        </w:rPr>
        <w:t>he</w:t>
      </w:r>
      <w:r w:rsidR="00AB3ADA">
        <w:rPr>
          <w:rFonts w:cstheme="minorHAnsi"/>
          <w:spacing w:val="-4"/>
          <w:szCs w:val="20"/>
        </w:rPr>
        <w:t xml:space="preserve"> </w:t>
      </w:r>
      <w:r w:rsidR="000E4F85" w:rsidRPr="00F7748E">
        <w:rPr>
          <w:rFonts w:cstheme="minorHAnsi"/>
          <w:spacing w:val="-4"/>
          <w:szCs w:val="20"/>
        </w:rPr>
        <w:t>National surveillance survey did not stratify according to recent sexual activity. (</w:t>
      </w:r>
      <w:r w:rsidR="00A13596" w:rsidRPr="00F7748E">
        <w:rPr>
          <w:rFonts w:cstheme="minorHAnsi"/>
          <w:spacing w:val="-4"/>
          <w:szCs w:val="20"/>
        </w:rPr>
        <w:t>T</w:t>
      </w:r>
      <w:r w:rsidR="000E4F85" w:rsidRPr="00F7748E">
        <w:rPr>
          <w:rFonts w:cstheme="minorHAnsi"/>
          <w:spacing w:val="-4"/>
          <w:szCs w:val="20"/>
        </w:rPr>
        <w:t xml:space="preserve">he GERMSA </w:t>
      </w:r>
      <w:r w:rsidR="00A13596" w:rsidRPr="00F7748E">
        <w:rPr>
          <w:rFonts w:cstheme="minorHAnsi"/>
          <w:spacing w:val="-4"/>
          <w:szCs w:val="20"/>
        </w:rPr>
        <w:t>survey will hopefully provide such data</w:t>
      </w:r>
      <w:r w:rsidR="000E4F85" w:rsidRPr="00F7748E">
        <w:rPr>
          <w:rFonts w:cstheme="minorHAnsi"/>
          <w:spacing w:val="-4"/>
          <w:szCs w:val="20"/>
        </w:rPr>
        <w:t xml:space="preserve">in the near future). However, the PHC Committee was of the opinion that using </w:t>
      </w:r>
      <w:r w:rsidR="002912B4">
        <w:rPr>
          <w:rFonts w:cstheme="minorHAnsi"/>
          <w:spacing w:val="-4"/>
          <w:szCs w:val="20"/>
        </w:rPr>
        <w:t>a history of  recent</w:t>
      </w:r>
      <w:r w:rsidR="00AB3ADA">
        <w:rPr>
          <w:rFonts w:cstheme="minorHAnsi"/>
          <w:spacing w:val="-4"/>
          <w:szCs w:val="20"/>
        </w:rPr>
        <w:t xml:space="preserve"> </w:t>
      </w:r>
      <w:r w:rsidR="000E4F85" w:rsidRPr="00F7748E">
        <w:rPr>
          <w:rFonts w:cstheme="minorHAnsi"/>
          <w:spacing w:val="-4"/>
          <w:szCs w:val="20"/>
        </w:rPr>
        <w:t>sexual activity</w:t>
      </w:r>
      <w:r w:rsidR="002912B4">
        <w:rPr>
          <w:rFonts w:cstheme="minorHAnsi"/>
          <w:spacing w:val="-4"/>
          <w:szCs w:val="20"/>
        </w:rPr>
        <w:t xml:space="preserve"> (within the past 3 months</w:t>
      </w:r>
      <w:r w:rsidR="000E4F85" w:rsidRPr="00F7748E">
        <w:rPr>
          <w:rFonts w:cstheme="minorHAnsi"/>
          <w:spacing w:val="-4"/>
          <w:szCs w:val="20"/>
        </w:rPr>
        <w:t xml:space="preserve"> as a </w:t>
      </w:r>
      <w:r w:rsidR="000E4F85" w:rsidRPr="00F7748E">
        <w:rPr>
          <w:rFonts w:cstheme="minorHAnsi"/>
          <w:spacing w:val="-4"/>
          <w:szCs w:val="20"/>
        </w:rPr>
        <w:lastRenderedPageBreak/>
        <w:t xml:space="preserve">criterion for </w:t>
      </w:r>
      <w:r w:rsidR="00FD53A1">
        <w:rPr>
          <w:rFonts w:cstheme="minorHAnsi"/>
          <w:spacing w:val="-4"/>
          <w:szCs w:val="20"/>
        </w:rPr>
        <w:t xml:space="preserve">including treatment for </w:t>
      </w:r>
      <w:r w:rsidR="000E4F85" w:rsidRPr="00F7748E">
        <w:rPr>
          <w:rFonts w:cstheme="minorHAnsi"/>
          <w:spacing w:val="-4"/>
          <w:szCs w:val="20"/>
        </w:rPr>
        <w:t xml:space="preserve">STI pathogens in </w:t>
      </w:r>
      <w:r w:rsidR="00FD53A1">
        <w:rPr>
          <w:rFonts w:cstheme="minorHAnsi"/>
          <w:spacing w:val="-4"/>
          <w:szCs w:val="20"/>
        </w:rPr>
        <w:t xml:space="preserve"> the treatment regimen for </w:t>
      </w:r>
      <w:r w:rsidR="000E4F85" w:rsidRPr="00F7748E">
        <w:rPr>
          <w:rFonts w:cstheme="minorHAnsi"/>
          <w:spacing w:val="-4"/>
          <w:szCs w:val="20"/>
        </w:rPr>
        <w:t>women presenting with VDS was more logical and biologically plausible</w:t>
      </w:r>
      <w:r w:rsidR="00A13596" w:rsidRPr="00F7748E">
        <w:rPr>
          <w:rFonts w:cstheme="minorHAnsi"/>
          <w:spacing w:val="-4"/>
          <w:szCs w:val="20"/>
        </w:rPr>
        <w:t xml:space="preserve"> than the previous age criterion,</w:t>
      </w:r>
      <w:r w:rsidR="000E4F85" w:rsidRPr="00F7748E">
        <w:rPr>
          <w:rFonts w:cstheme="minorHAnsi"/>
          <w:spacing w:val="-4"/>
          <w:szCs w:val="20"/>
        </w:rPr>
        <w:t xml:space="preserve"> and </w:t>
      </w:r>
      <w:r w:rsidR="00436F84" w:rsidRPr="00F7748E">
        <w:rPr>
          <w:rFonts w:cstheme="minorHAnsi"/>
          <w:spacing w:val="-4"/>
          <w:szCs w:val="20"/>
        </w:rPr>
        <w:t xml:space="preserve">would </w:t>
      </w:r>
      <w:r w:rsidR="00436F84" w:rsidRPr="00F7748E">
        <w:rPr>
          <w:rFonts w:cstheme="minorHAnsi"/>
          <w:szCs w:val="20"/>
        </w:rPr>
        <w:t>probably avoid inappropriate over-treatment of VDS cases with azithromycin+ceftriaxone.</w:t>
      </w:r>
      <w:r w:rsidRPr="00F7748E">
        <w:rPr>
          <w:rFonts w:cstheme="minorHAnsi"/>
          <w:spacing w:val="-4"/>
          <w:szCs w:val="20"/>
        </w:rPr>
        <w:t xml:space="preserve"> Thus, the STG </w:t>
      </w:r>
      <w:r w:rsidR="00DE3F6A" w:rsidRPr="00F7748E">
        <w:rPr>
          <w:rFonts w:cstheme="minorHAnsi"/>
          <w:spacing w:val="-4"/>
          <w:szCs w:val="20"/>
        </w:rPr>
        <w:t xml:space="preserve">recommends </w:t>
      </w:r>
      <w:r w:rsidR="00DE3F6A">
        <w:rPr>
          <w:rFonts w:cstheme="minorHAnsi"/>
          <w:spacing w:val="-4"/>
          <w:szCs w:val="20"/>
        </w:rPr>
        <w:t>history</w:t>
      </w:r>
      <w:r w:rsidR="00FD53A1">
        <w:rPr>
          <w:rFonts w:cstheme="minorHAnsi"/>
          <w:spacing w:val="-4"/>
          <w:szCs w:val="20"/>
        </w:rPr>
        <w:t xml:space="preserve"> of recent </w:t>
      </w:r>
      <w:r w:rsidRPr="00F7748E">
        <w:rPr>
          <w:rFonts w:cstheme="minorHAnsi"/>
          <w:spacing w:val="-4"/>
          <w:szCs w:val="20"/>
        </w:rPr>
        <w:t>sexual activity as the major criterion for presumptive STI treatment.</w:t>
      </w:r>
    </w:p>
    <w:p w:rsidR="00C003F4" w:rsidRDefault="00C003F4" w:rsidP="00436F84">
      <w:pPr>
        <w:widowControl w:val="0"/>
        <w:autoSpaceDE w:val="0"/>
        <w:autoSpaceDN w:val="0"/>
        <w:adjustRightInd w:val="0"/>
        <w:spacing w:after="0" w:line="240" w:lineRule="auto"/>
        <w:jc w:val="both"/>
        <w:rPr>
          <w:rFonts w:cstheme="minorHAnsi"/>
          <w:b/>
          <w:spacing w:val="-4"/>
          <w:szCs w:val="20"/>
        </w:rPr>
      </w:pPr>
    </w:p>
    <w:p w:rsidR="00232B40" w:rsidRDefault="000E4F85" w:rsidP="00232B40">
      <w:pPr>
        <w:widowControl w:val="0"/>
        <w:autoSpaceDE w:val="0"/>
        <w:autoSpaceDN w:val="0"/>
        <w:adjustRightInd w:val="0"/>
        <w:spacing w:after="0" w:line="240" w:lineRule="auto"/>
        <w:jc w:val="both"/>
        <w:rPr>
          <w:rFonts w:cstheme="minorHAnsi"/>
          <w:b/>
          <w:spacing w:val="-4"/>
          <w:szCs w:val="20"/>
        </w:rPr>
      </w:pPr>
      <w:r w:rsidRPr="00F7748E">
        <w:rPr>
          <w:rFonts w:cstheme="minorHAnsi"/>
          <w:b/>
          <w:spacing w:val="-4"/>
          <w:szCs w:val="20"/>
        </w:rPr>
        <w:t xml:space="preserve">C: </w:t>
      </w:r>
      <w:r w:rsidR="008C59F4" w:rsidRPr="00F7748E">
        <w:rPr>
          <w:rFonts w:cstheme="minorHAnsi"/>
          <w:b/>
          <w:spacing w:val="-4"/>
          <w:szCs w:val="20"/>
        </w:rPr>
        <w:t xml:space="preserve">VDS </w:t>
      </w:r>
      <w:r w:rsidR="007406E9" w:rsidRPr="00F7748E">
        <w:rPr>
          <w:rFonts w:cstheme="minorHAnsi"/>
          <w:b/>
          <w:spacing w:val="-4"/>
          <w:szCs w:val="20"/>
        </w:rPr>
        <w:t>ALGORITHM</w:t>
      </w:r>
      <w:r w:rsidR="008C59F4" w:rsidRPr="00F7748E">
        <w:rPr>
          <w:rFonts w:cstheme="minorHAnsi"/>
          <w:b/>
          <w:spacing w:val="-4"/>
          <w:szCs w:val="20"/>
        </w:rPr>
        <w:t>S</w:t>
      </w:r>
      <w:r w:rsidR="007406E9" w:rsidRPr="00F7748E">
        <w:rPr>
          <w:rFonts w:cstheme="minorHAnsi"/>
          <w:b/>
          <w:spacing w:val="-4"/>
          <w:szCs w:val="20"/>
        </w:rPr>
        <w:t xml:space="preserve"> DIFFERENTIATES CLINICALLY BETWEEN CANDIDIASIS AND</w:t>
      </w:r>
      <w:r w:rsidR="00B24451" w:rsidRPr="00F7748E">
        <w:rPr>
          <w:rFonts w:cstheme="minorHAnsi"/>
          <w:b/>
          <w:spacing w:val="-4"/>
          <w:szCs w:val="20"/>
        </w:rPr>
        <w:t>B</w:t>
      </w:r>
      <w:r w:rsidR="00E86E6D" w:rsidRPr="00F7748E">
        <w:rPr>
          <w:rFonts w:cstheme="minorHAnsi"/>
          <w:b/>
          <w:spacing w:val="-4"/>
          <w:szCs w:val="20"/>
        </w:rPr>
        <w:t xml:space="preserve">ACTERIAL </w:t>
      </w:r>
      <w:r w:rsidR="00B24451" w:rsidRPr="00F7748E">
        <w:rPr>
          <w:rFonts w:cstheme="minorHAnsi"/>
          <w:b/>
          <w:spacing w:val="-4"/>
          <w:szCs w:val="20"/>
        </w:rPr>
        <w:t>V</w:t>
      </w:r>
      <w:r w:rsidR="00E86E6D" w:rsidRPr="00F7748E">
        <w:rPr>
          <w:rFonts w:cstheme="minorHAnsi"/>
          <w:b/>
          <w:spacing w:val="-4"/>
          <w:szCs w:val="20"/>
        </w:rPr>
        <w:t>AGINOSIS</w:t>
      </w:r>
      <w:r w:rsidR="007406E9" w:rsidRPr="00F7748E">
        <w:rPr>
          <w:rFonts w:cstheme="minorHAnsi"/>
          <w:b/>
          <w:spacing w:val="-4"/>
          <w:szCs w:val="20"/>
        </w:rPr>
        <w:t>:</w:t>
      </w:r>
    </w:p>
    <w:p w:rsidR="00232B40" w:rsidRDefault="00232B40" w:rsidP="00232B40">
      <w:pPr>
        <w:widowControl w:val="0"/>
        <w:autoSpaceDE w:val="0"/>
        <w:autoSpaceDN w:val="0"/>
        <w:adjustRightInd w:val="0"/>
        <w:spacing w:after="0" w:line="240" w:lineRule="auto"/>
        <w:jc w:val="both"/>
        <w:rPr>
          <w:rFonts w:cstheme="minorHAnsi"/>
          <w:spacing w:val="-4"/>
          <w:szCs w:val="20"/>
        </w:rPr>
      </w:pPr>
      <w:r w:rsidRPr="00F7748E">
        <w:rPr>
          <w:rFonts w:cstheme="minorHAnsi"/>
          <w:b/>
          <w:i/>
          <w:spacing w:val="-4"/>
          <w:szCs w:val="20"/>
        </w:rPr>
        <w:t>Previous dual therapy (metronidazole+cotrimazole):</w:t>
      </w:r>
      <w:r w:rsidR="00DE3F6A">
        <w:rPr>
          <w:rFonts w:cstheme="minorHAnsi"/>
          <w:spacing w:val="-4"/>
          <w:szCs w:val="20"/>
        </w:rPr>
        <w:t>I</w:t>
      </w:r>
      <w:r w:rsidR="00CD2CC4" w:rsidRPr="00F7748E">
        <w:rPr>
          <w:rFonts w:cstheme="minorHAnsi"/>
          <w:spacing w:val="-4"/>
          <w:szCs w:val="20"/>
        </w:rPr>
        <w:t xml:space="preserve">n the 2014 PHC VDS algorithmwomen&gt;35 years </w:t>
      </w:r>
      <w:r w:rsidR="00CD2CC4">
        <w:rPr>
          <w:rFonts w:cstheme="minorHAnsi"/>
          <w:spacing w:val="-4"/>
          <w:szCs w:val="20"/>
        </w:rPr>
        <w:t xml:space="preserve">were </w:t>
      </w:r>
      <w:r w:rsidR="00CD2CC4" w:rsidRPr="00F7748E">
        <w:rPr>
          <w:rFonts w:cstheme="minorHAnsi"/>
          <w:spacing w:val="-4"/>
          <w:szCs w:val="20"/>
        </w:rPr>
        <w:t>treated with both clotrimazole and metronidazole</w:t>
      </w:r>
      <w:r w:rsidR="00CD2CC4">
        <w:rPr>
          <w:rFonts w:cstheme="minorHAnsi"/>
          <w:spacing w:val="-4"/>
          <w:szCs w:val="20"/>
        </w:rPr>
        <w:t xml:space="preserve"> to cover </w:t>
      </w:r>
      <w:r w:rsidRPr="00F7748E">
        <w:rPr>
          <w:rFonts w:cstheme="minorHAnsi"/>
          <w:spacing w:val="-4"/>
          <w:szCs w:val="20"/>
        </w:rPr>
        <w:t>candidiasis</w:t>
      </w:r>
      <w:r w:rsidR="00CD2CC4">
        <w:rPr>
          <w:rFonts w:cstheme="minorHAnsi"/>
          <w:spacing w:val="-4"/>
          <w:szCs w:val="20"/>
        </w:rPr>
        <w:t xml:space="preserve">, </w:t>
      </w:r>
      <w:r w:rsidR="00DE3F6A">
        <w:rPr>
          <w:rFonts w:cstheme="minorHAnsi"/>
          <w:spacing w:val="-4"/>
          <w:szCs w:val="20"/>
        </w:rPr>
        <w:t xml:space="preserve">bacterial vaginosis and </w:t>
      </w:r>
      <w:r w:rsidR="00CD2CC4">
        <w:rPr>
          <w:rFonts w:cstheme="minorHAnsi"/>
          <w:spacing w:val="-4"/>
          <w:szCs w:val="20"/>
        </w:rPr>
        <w:t>trichomonas. Clinical features of vaginal candidiasis were not included in the algorithm.</w:t>
      </w:r>
    </w:p>
    <w:p w:rsidR="00DE3F6A" w:rsidRPr="00F7748E" w:rsidRDefault="00DE3F6A" w:rsidP="00232B40">
      <w:pPr>
        <w:widowControl w:val="0"/>
        <w:autoSpaceDE w:val="0"/>
        <w:autoSpaceDN w:val="0"/>
        <w:adjustRightInd w:val="0"/>
        <w:spacing w:after="0" w:line="240" w:lineRule="auto"/>
        <w:jc w:val="both"/>
        <w:rPr>
          <w:rFonts w:cstheme="minorHAnsi"/>
          <w:spacing w:val="-4"/>
          <w:szCs w:val="20"/>
        </w:rPr>
      </w:pPr>
    </w:p>
    <w:p w:rsidR="00436F84" w:rsidRPr="00831008" w:rsidRDefault="00C36E78" w:rsidP="00C36E78">
      <w:pPr>
        <w:spacing w:after="0" w:line="240" w:lineRule="auto"/>
        <w:jc w:val="both"/>
        <w:rPr>
          <w:rFonts w:cstheme="minorHAnsi"/>
          <w:strike/>
          <w:szCs w:val="20"/>
        </w:rPr>
      </w:pPr>
      <w:r w:rsidRPr="00831008">
        <w:rPr>
          <w:rFonts w:cstheme="minorHAnsi"/>
          <w:b/>
          <w:i/>
          <w:szCs w:val="20"/>
        </w:rPr>
        <w:t>Co-infection</w:t>
      </w:r>
      <w:r w:rsidR="00436F84" w:rsidRPr="00831008">
        <w:rPr>
          <w:rFonts w:cstheme="minorHAnsi"/>
          <w:b/>
          <w:i/>
          <w:szCs w:val="20"/>
        </w:rPr>
        <w:t>:</w:t>
      </w:r>
      <w:r w:rsidR="00CD2CC4" w:rsidRPr="00831008">
        <w:rPr>
          <w:rFonts w:cstheme="minorHAnsi"/>
          <w:shd w:val="clear" w:color="auto" w:fill="FFFFFF"/>
        </w:rPr>
        <w:t>Co-infection with candida</w:t>
      </w:r>
      <w:r w:rsidR="00831008" w:rsidRPr="00831008">
        <w:rPr>
          <w:rFonts w:cstheme="minorHAnsi"/>
          <w:shd w:val="clear" w:color="auto" w:fill="FFFFFF"/>
        </w:rPr>
        <w:t xml:space="preserve"> (CA)</w:t>
      </w:r>
      <w:r w:rsidR="00CD2CC4" w:rsidRPr="00831008">
        <w:rPr>
          <w:rFonts w:cstheme="minorHAnsi"/>
          <w:shd w:val="clear" w:color="auto" w:fill="FFFFFF"/>
        </w:rPr>
        <w:t xml:space="preserve"> (necessitating clotrimazole treatment) and </w:t>
      </w:r>
      <w:r w:rsidR="00DE3F6A" w:rsidRPr="00831008">
        <w:rPr>
          <w:rFonts w:cstheme="minorHAnsi"/>
          <w:shd w:val="clear" w:color="auto" w:fill="FFFFFF"/>
        </w:rPr>
        <w:t>bacterial vaginosis</w:t>
      </w:r>
      <w:r w:rsidR="00831008" w:rsidRPr="00831008">
        <w:rPr>
          <w:rFonts w:cstheme="minorHAnsi"/>
          <w:shd w:val="clear" w:color="auto" w:fill="FFFFFF"/>
        </w:rPr>
        <w:t xml:space="preserve"> (BV)</w:t>
      </w:r>
      <w:r w:rsidR="00CD2CC4" w:rsidRPr="00831008">
        <w:rPr>
          <w:rFonts w:cstheme="minorHAnsi"/>
          <w:shd w:val="clear" w:color="auto" w:fill="FFFFFF"/>
        </w:rPr>
        <w:t xml:space="preserve"> (necessitating metronidazole treatment) is rare.  </w:t>
      </w:r>
      <w:r w:rsidR="00CD2CC4" w:rsidRPr="00831008">
        <w:rPr>
          <w:rFonts w:cstheme="minorHAnsi"/>
        </w:rPr>
        <w:t>In l</w:t>
      </w:r>
      <w:r w:rsidR="00BD22BF" w:rsidRPr="00831008">
        <w:rPr>
          <w:rFonts w:cstheme="minorHAnsi"/>
        </w:rPr>
        <w:t>ocal surveillance data from the NAS study (2014-2015)</w:t>
      </w:r>
      <w:r w:rsidR="00BD22BF" w:rsidRPr="00831008">
        <w:rPr>
          <w:rStyle w:val="FootnoteReference"/>
          <w:rFonts w:cstheme="minorHAnsi"/>
        </w:rPr>
        <w:footnoteReference w:id="5"/>
      </w:r>
      <w:r w:rsidR="00CD2CC4" w:rsidRPr="00831008">
        <w:rPr>
          <w:rFonts w:cstheme="minorHAnsi"/>
          <w:shd w:val="clear" w:color="auto" w:fill="FFFFFF"/>
        </w:rPr>
        <w:t>, only 5% of patients (40/801 of VDS cases) had BV </w:t>
      </w:r>
      <w:r w:rsidR="00CD2CC4" w:rsidRPr="00831008">
        <w:rPr>
          <w:rFonts w:cstheme="minorHAnsi"/>
          <w:b/>
          <w:bCs/>
          <w:shd w:val="clear" w:color="auto" w:fill="FFFFFF"/>
        </w:rPr>
        <w:t>plus </w:t>
      </w:r>
      <w:r w:rsidR="00CD2CC4" w:rsidRPr="00831008">
        <w:rPr>
          <w:rFonts w:cstheme="minorHAnsi"/>
          <w:shd w:val="clear" w:color="auto" w:fill="FFFFFF"/>
        </w:rPr>
        <w:t>CA (without STI)</w:t>
      </w:r>
      <w:r w:rsidR="00831008" w:rsidRPr="00831008">
        <w:rPr>
          <w:rFonts w:cstheme="minorHAnsi"/>
          <w:shd w:val="clear" w:color="auto" w:fill="FFFFFF"/>
        </w:rPr>
        <w:t>.</w:t>
      </w:r>
      <w:r w:rsidR="00CD2CC4" w:rsidRPr="00831008">
        <w:rPr>
          <w:rFonts w:cstheme="minorHAnsi"/>
          <w:shd w:val="clear" w:color="auto" w:fill="FFFFFF"/>
        </w:rPr>
        <w:t>“</w:t>
      </w:r>
      <w:bookmarkStart w:id="0" w:name="_GoBack"/>
      <w:r w:rsidR="00CD2CC4" w:rsidRPr="00831008">
        <w:rPr>
          <w:rFonts w:cstheme="minorHAnsi"/>
          <w:shd w:val="clear" w:color="auto" w:fill="FFFFFF"/>
        </w:rPr>
        <w:t>The negative association between BV and vulvovaginal candidiasis has been attributed to an alteration of vaginal pH in BV, which creates an unfavourable environment for candida colonization and co-infection”</w:t>
      </w:r>
      <w:r w:rsidR="00831008" w:rsidRPr="00831008">
        <w:rPr>
          <w:rFonts w:cstheme="minorHAnsi"/>
          <w:shd w:val="clear" w:color="auto" w:fill="FFFFFF"/>
        </w:rPr>
        <w:t>.</w:t>
      </w:r>
    </w:p>
    <w:bookmarkEnd w:id="0"/>
    <w:p w:rsidR="006E40D1" w:rsidRPr="00F7748E" w:rsidRDefault="006E40D1" w:rsidP="00232B40">
      <w:pPr>
        <w:widowControl w:val="0"/>
        <w:autoSpaceDE w:val="0"/>
        <w:autoSpaceDN w:val="0"/>
        <w:adjustRightInd w:val="0"/>
        <w:spacing w:after="0" w:line="240" w:lineRule="auto"/>
        <w:jc w:val="both"/>
        <w:rPr>
          <w:rFonts w:cstheme="minorHAnsi"/>
          <w:b/>
          <w:spacing w:val="-4"/>
          <w:szCs w:val="20"/>
        </w:rPr>
      </w:pPr>
    </w:p>
    <w:p w:rsidR="000E4F85" w:rsidRPr="00F7748E" w:rsidRDefault="000E4F85" w:rsidP="009F6F72">
      <w:pPr>
        <w:widowControl w:val="0"/>
        <w:autoSpaceDE w:val="0"/>
        <w:autoSpaceDN w:val="0"/>
        <w:adjustRightInd w:val="0"/>
        <w:spacing w:after="0" w:line="240" w:lineRule="auto"/>
        <w:jc w:val="both"/>
        <w:rPr>
          <w:rFonts w:cstheme="minorHAnsi"/>
          <w:b/>
          <w:spacing w:val="-4"/>
          <w:szCs w:val="20"/>
        </w:rPr>
      </w:pPr>
      <w:r w:rsidRPr="00F7748E">
        <w:rPr>
          <w:rFonts w:cstheme="minorHAnsi"/>
          <w:b/>
          <w:spacing w:val="-4"/>
          <w:szCs w:val="20"/>
        </w:rPr>
        <w:t xml:space="preserve">D: SPECULUM EXAMINATION: </w:t>
      </w:r>
    </w:p>
    <w:p w:rsidR="009F6F72" w:rsidRPr="00F7748E" w:rsidRDefault="009F6F72" w:rsidP="009F6F72">
      <w:pPr>
        <w:widowControl w:val="0"/>
        <w:autoSpaceDE w:val="0"/>
        <w:autoSpaceDN w:val="0"/>
        <w:adjustRightInd w:val="0"/>
        <w:spacing w:after="0" w:line="240" w:lineRule="auto"/>
        <w:jc w:val="both"/>
        <w:rPr>
          <w:rFonts w:cstheme="minorHAnsi"/>
          <w:spacing w:val="-4"/>
          <w:szCs w:val="20"/>
        </w:rPr>
      </w:pPr>
      <w:r w:rsidRPr="00F7748E">
        <w:rPr>
          <w:rFonts w:cstheme="minorHAnsi"/>
          <w:spacing w:val="-4"/>
          <w:szCs w:val="20"/>
        </w:rPr>
        <w:t xml:space="preserve">Speculum examination </w:t>
      </w:r>
      <w:r w:rsidR="006E40D1" w:rsidRPr="00F7748E">
        <w:rPr>
          <w:rFonts w:cstheme="minorHAnsi"/>
          <w:spacing w:val="-4"/>
          <w:szCs w:val="20"/>
        </w:rPr>
        <w:t xml:space="preserve">for all women presenting with VDS </w:t>
      </w:r>
      <w:r w:rsidRPr="00F7748E">
        <w:rPr>
          <w:rFonts w:cstheme="minorHAnsi"/>
          <w:spacing w:val="-4"/>
          <w:szCs w:val="20"/>
        </w:rPr>
        <w:t>is recommended by the STI Programme</w:t>
      </w:r>
      <w:r w:rsidRPr="00F7748E">
        <w:rPr>
          <w:rStyle w:val="FootnoteReference"/>
          <w:rFonts w:cstheme="minorHAnsi"/>
          <w:spacing w:val="-4"/>
          <w:szCs w:val="20"/>
        </w:rPr>
        <w:footnoteReference w:id="6"/>
      </w:r>
      <w:r w:rsidRPr="00F7748E">
        <w:rPr>
          <w:rFonts w:cstheme="minorHAnsi"/>
          <w:spacing w:val="-4"/>
          <w:szCs w:val="20"/>
        </w:rPr>
        <w:t xml:space="preserve"> to differentiate </w:t>
      </w:r>
      <w:r w:rsidR="00D70EBA" w:rsidRPr="00F7748E">
        <w:rPr>
          <w:rFonts w:cstheme="minorHAnsi"/>
          <w:spacing w:val="-4"/>
          <w:szCs w:val="20"/>
        </w:rPr>
        <w:t>between cervicitis</w:t>
      </w:r>
      <w:r w:rsidRPr="00F7748E">
        <w:rPr>
          <w:rFonts w:cstheme="minorHAnsi"/>
          <w:spacing w:val="-4"/>
          <w:szCs w:val="20"/>
        </w:rPr>
        <w:t xml:space="preserve"> and vaginitis, especially in sexually active </w:t>
      </w:r>
      <w:r w:rsidR="00C71476" w:rsidRPr="00F7748E">
        <w:rPr>
          <w:rFonts w:cstheme="minorHAnsi"/>
          <w:spacing w:val="-4"/>
          <w:szCs w:val="20"/>
        </w:rPr>
        <w:t>women</w:t>
      </w:r>
      <w:r w:rsidR="00802D67" w:rsidRPr="00F7748E">
        <w:rPr>
          <w:rFonts w:cstheme="minorHAnsi"/>
          <w:spacing w:val="-4"/>
          <w:szCs w:val="20"/>
        </w:rPr>
        <w:t>, to limit unnecessary treatment for gonorrhoea and chlamydia</w:t>
      </w:r>
      <w:r w:rsidRPr="00F7748E">
        <w:rPr>
          <w:rFonts w:cstheme="minorHAnsi"/>
          <w:spacing w:val="-4"/>
          <w:szCs w:val="20"/>
        </w:rPr>
        <w:t>. Speculae are available at primary care level facilities.</w:t>
      </w:r>
      <w:r w:rsidR="00AB3ADA">
        <w:rPr>
          <w:rFonts w:cstheme="minorHAnsi"/>
          <w:spacing w:val="-4"/>
          <w:szCs w:val="20"/>
        </w:rPr>
        <w:t xml:space="preserve"> </w:t>
      </w:r>
      <w:r w:rsidR="002F18C7" w:rsidRPr="00F7748E">
        <w:rPr>
          <w:rFonts w:cstheme="minorHAnsi"/>
          <w:spacing w:val="-4"/>
          <w:szCs w:val="20"/>
        </w:rPr>
        <w:t>T</w:t>
      </w:r>
      <w:r w:rsidR="008767DC" w:rsidRPr="00F7748E">
        <w:rPr>
          <w:rFonts w:cstheme="minorHAnsi"/>
          <w:spacing w:val="-4"/>
          <w:szCs w:val="20"/>
        </w:rPr>
        <w:t>he PHC Committee</w:t>
      </w:r>
      <w:r w:rsidR="007F7199" w:rsidRPr="00F7748E">
        <w:rPr>
          <w:rFonts w:cstheme="minorHAnsi"/>
          <w:spacing w:val="-4"/>
          <w:szCs w:val="20"/>
        </w:rPr>
        <w:t xml:space="preserve"> was of the opinion</w:t>
      </w:r>
      <w:r w:rsidR="002F18C7" w:rsidRPr="00F7748E">
        <w:rPr>
          <w:rFonts w:cstheme="minorHAnsi"/>
          <w:spacing w:val="-4"/>
          <w:szCs w:val="20"/>
        </w:rPr>
        <w:t xml:space="preserve"> that </w:t>
      </w:r>
      <w:r w:rsidR="00831008" w:rsidRPr="00F7748E">
        <w:rPr>
          <w:rFonts w:cstheme="minorHAnsi"/>
          <w:spacing w:val="-4"/>
          <w:szCs w:val="20"/>
        </w:rPr>
        <w:t>compulsory speculum examinations for all women presenting with VDS are</w:t>
      </w:r>
      <w:r w:rsidR="002F18C7" w:rsidRPr="00F7748E">
        <w:rPr>
          <w:rFonts w:cstheme="minorHAnsi"/>
          <w:spacing w:val="-4"/>
          <w:szCs w:val="20"/>
        </w:rPr>
        <w:t xml:space="preserve"> probably not feasible. There is a note under both VDS algorithms that speculum examinations should be done in all cases, but lack of speculum examination does not preclude treatment</w:t>
      </w:r>
      <w:r w:rsidR="008767DC" w:rsidRPr="00F7748E">
        <w:rPr>
          <w:rFonts w:cstheme="minorHAnsi"/>
          <w:spacing w:val="-4"/>
          <w:szCs w:val="20"/>
        </w:rPr>
        <w:t>.</w:t>
      </w:r>
      <w:r w:rsidR="002F18C7" w:rsidRPr="00F7748E">
        <w:rPr>
          <w:rFonts w:cstheme="minorHAnsi"/>
          <w:spacing w:val="-4"/>
          <w:szCs w:val="20"/>
        </w:rPr>
        <w:t xml:space="preserve">However, </w:t>
      </w:r>
      <w:r w:rsidR="007F7199" w:rsidRPr="00F7748E">
        <w:rPr>
          <w:rFonts w:cstheme="minorHAnsi"/>
          <w:spacing w:val="-4"/>
          <w:szCs w:val="20"/>
        </w:rPr>
        <w:t>the PHC Committee recommended</w:t>
      </w:r>
      <w:r w:rsidR="002F18C7" w:rsidRPr="00F7748E">
        <w:rPr>
          <w:rFonts w:cstheme="minorHAnsi"/>
          <w:spacing w:val="-4"/>
          <w:szCs w:val="20"/>
        </w:rPr>
        <w:t xml:space="preserve"> that speculum examination should be done if symptoms persist after treatment for BV, in order to identify those women who should receive STI treatment.</w:t>
      </w:r>
    </w:p>
    <w:p w:rsidR="00EB6922" w:rsidRPr="00F7748E" w:rsidRDefault="00EB6922" w:rsidP="00232B40">
      <w:pPr>
        <w:widowControl w:val="0"/>
        <w:autoSpaceDE w:val="0"/>
        <w:autoSpaceDN w:val="0"/>
        <w:adjustRightInd w:val="0"/>
        <w:spacing w:after="0" w:line="240" w:lineRule="auto"/>
        <w:jc w:val="both"/>
        <w:rPr>
          <w:rFonts w:cstheme="minorHAnsi"/>
          <w:spacing w:val="-4"/>
          <w:sz w:val="24"/>
          <w:szCs w:val="20"/>
        </w:rPr>
      </w:pPr>
    </w:p>
    <w:p w:rsidR="00C56B8A" w:rsidRPr="00F7748E" w:rsidRDefault="00C56B8A" w:rsidP="00C56B8A">
      <w:pPr>
        <w:pStyle w:val="CommentText"/>
        <w:widowControl w:val="0"/>
        <w:tabs>
          <w:tab w:val="left" w:pos="567"/>
        </w:tabs>
        <w:rPr>
          <w:rFonts w:asciiTheme="minorHAnsi" w:hAnsiTheme="minorHAnsi" w:cstheme="minorHAnsi"/>
          <w:b/>
          <w:sz w:val="22"/>
        </w:rPr>
      </w:pPr>
      <w:r w:rsidRPr="00F7748E">
        <w:rPr>
          <w:rFonts w:asciiTheme="minorHAnsi" w:hAnsiTheme="minorHAnsi" w:cstheme="minorHAnsi"/>
          <w:b/>
          <w:sz w:val="22"/>
        </w:rPr>
        <w:t>Recommendations:</w:t>
      </w:r>
    </w:p>
    <w:p w:rsidR="00C56B8A" w:rsidRPr="00F7748E" w:rsidRDefault="00C56B8A" w:rsidP="000E4F85">
      <w:pPr>
        <w:pStyle w:val="ListParagraph"/>
        <w:widowControl w:val="0"/>
        <w:numPr>
          <w:ilvl w:val="0"/>
          <w:numId w:val="10"/>
        </w:numPr>
        <w:autoSpaceDE w:val="0"/>
        <w:autoSpaceDN w:val="0"/>
        <w:adjustRightInd w:val="0"/>
        <w:jc w:val="both"/>
        <w:rPr>
          <w:rFonts w:asciiTheme="minorHAnsi" w:hAnsiTheme="minorHAnsi" w:cstheme="minorHAnsi"/>
          <w:spacing w:val="-4"/>
          <w:sz w:val="22"/>
          <w:szCs w:val="20"/>
        </w:rPr>
      </w:pPr>
      <w:r w:rsidRPr="00F7748E">
        <w:rPr>
          <w:rFonts w:asciiTheme="minorHAnsi" w:hAnsiTheme="minorHAnsi" w:cstheme="minorHAnsi"/>
          <w:spacing w:val="-4"/>
          <w:sz w:val="22"/>
          <w:szCs w:val="20"/>
        </w:rPr>
        <w:t>Age be removed as a criterion for treating chlamydia and gonococcal infections versus bacterial vaginosis.</w:t>
      </w:r>
    </w:p>
    <w:p w:rsidR="00C56B8A" w:rsidRPr="00F7748E" w:rsidRDefault="00C56B8A" w:rsidP="000E4F85">
      <w:pPr>
        <w:pStyle w:val="ListParagraph"/>
        <w:widowControl w:val="0"/>
        <w:numPr>
          <w:ilvl w:val="0"/>
          <w:numId w:val="10"/>
        </w:numPr>
        <w:autoSpaceDE w:val="0"/>
        <w:autoSpaceDN w:val="0"/>
        <w:adjustRightInd w:val="0"/>
        <w:jc w:val="both"/>
        <w:rPr>
          <w:rFonts w:asciiTheme="minorHAnsi" w:hAnsiTheme="minorHAnsi" w:cstheme="minorHAnsi"/>
          <w:spacing w:val="-4"/>
          <w:sz w:val="22"/>
          <w:szCs w:val="20"/>
        </w:rPr>
      </w:pPr>
      <w:r w:rsidRPr="00F7748E">
        <w:rPr>
          <w:rFonts w:asciiTheme="minorHAnsi" w:hAnsiTheme="minorHAnsi" w:cstheme="minorHAnsi"/>
          <w:spacing w:val="-4"/>
          <w:sz w:val="22"/>
          <w:szCs w:val="20"/>
        </w:rPr>
        <w:t>Sexual activity be added as a criterion for syndromic treatment of STI when presenting with VDS.</w:t>
      </w:r>
    </w:p>
    <w:p w:rsidR="00C56B8A" w:rsidRPr="00F7748E" w:rsidRDefault="00C56B8A" w:rsidP="000E4F85">
      <w:pPr>
        <w:pStyle w:val="ListParagraph"/>
        <w:widowControl w:val="0"/>
        <w:numPr>
          <w:ilvl w:val="0"/>
          <w:numId w:val="10"/>
        </w:numPr>
        <w:autoSpaceDE w:val="0"/>
        <w:autoSpaceDN w:val="0"/>
        <w:adjustRightInd w:val="0"/>
        <w:jc w:val="both"/>
        <w:rPr>
          <w:rFonts w:asciiTheme="minorHAnsi" w:hAnsiTheme="minorHAnsi" w:cstheme="minorHAnsi"/>
          <w:spacing w:val="-4"/>
          <w:sz w:val="22"/>
          <w:szCs w:val="20"/>
        </w:rPr>
      </w:pPr>
      <w:r w:rsidRPr="00F7748E">
        <w:rPr>
          <w:rFonts w:asciiTheme="minorHAnsi" w:hAnsiTheme="minorHAnsi" w:cstheme="minorHAnsi"/>
          <w:spacing w:val="-4"/>
          <w:sz w:val="22"/>
          <w:szCs w:val="20"/>
        </w:rPr>
        <w:t>The VDS algorithm</w:t>
      </w:r>
      <w:r w:rsidR="000E4F85" w:rsidRPr="00F7748E">
        <w:rPr>
          <w:rFonts w:asciiTheme="minorHAnsi" w:hAnsiTheme="minorHAnsi" w:cstheme="minorHAnsi"/>
          <w:spacing w:val="-4"/>
          <w:sz w:val="22"/>
          <w:szCs w:val="20"/>
        </w:rPr>
        <w:t>(s)</w:t>
      </w:r>
      <w:r w:rsidRPr="00F7748E">
        <w:rPr>
          <w:rFonts w:asciiTheme="minorHAnsi" w:hAnsiTheme="minorHAnsi" w:cstheme="minorHAnsi"/>
          <w:spacing w:val="-4"/>
          <w:sz w:val="22"/>
          <w:szCs w:val="20"/>
        </w:rPr>
        <w:t xml:space="preserve"> differentiate clinically between candidiasis and </w:t>
      </w:r>
      <w:r w:rsidR="007F7199" w:rsidRPr="00F7748E">
        <w:rPr>
          <w:rFonts w:asciiTheme="minorHAnsi" w:hAnsiTheme="minorHAnsi" w:cstheme="minorHAnsi"/>
          <w:spacing w:val="-4"/>
          <w:sz w:val="22"/>
          <w:szCs w:val="20"/>
        </w:rPr>
        <w:t>bacterial vaginosis</w:t>
      </w:r>
      <w:r w:rsidRPr="00F7748E">
        <w:rPr>
          <w:rFonts w:asciiTheme="minorHAnsi" w:hAnsiTheme="minorHAnsi" w:cstheme="minorHAnsi"/>
          <w:spacing w:val="-4"/>
          <w:sz w:val="22"/>
          <w:szCs w:val="20"/>
        </w:rPr>
        <w:t>.</w:t>
      </w:r>
    </w:p>
    <w:p w:rsidR="00C56B8A" w:rsidRPr="00F7748E" w:rsidRDefault="00C56B8A" w:rsidP="000E4F85">
      <w:pPr>
        <w:pStyle w:val="ListParagraph"/>
        <w:widowControl w:val="0"/>
        <w:numPr>
          <w:ilvl w:val="0"/>
          <w:numId w:val="10"/>
        </w:numPr>
        <w:autoSpaceDE w:val="0"/>
        <w:autoSpaceDN w:val="0"/>
        <w:adjustRightInd w:val="0"/>
        <w:jc w:val="both"/>
        <w:rPr>
          <w:rFonts w:asciiTheme="minorHAnsi" w:hAnsiTheme="minorHAnsi" w:cstheme="minorHAnsi"/>
          <w:spacing w:val="-4"/>
          <w:sz w:val="22"/>
          <w:szCs w:val="20"/>
        </w:rPr>
      </w:pPr>
      <w:r w:rsidRPr="00F7748E">
        <w:rPr>
          <w:rFonts w:asciiTheme="minorHAnsi" w:hAnsiTheme="minorHAnsi" w:cstheme="minorHAnsi"/>
          <w:spacing w:val="-4"/>
          <w:sz w:val="22"/>
          <w:szCs w:val="20"/>
        </w:rPr>
        <w:t xml:space="preserve">Speculum examination </w:t>
      </w:r>
      <w:r w:rsidR="00C71476" w:rsidRPr="00F7748E">
        <w:rPr>
          <w:rFonts w:asciiTheme="minorHAnsi" w:hAnsiTheme="minorHAnsi" w:cstheme="minorHAnsi"/>
          <w:spacing w:val="-4"/>
          <w:sz w:val="22"/>
          <w:szCs w:val="20"/>
        </w:rPr>
        <w:t xml:space="preserve">be </w:t>
      </w:r>
      <w:r w:rsidRPr="00F7748E">
        <w:rPr>
          <w:rFonts w:asciiTheme="minorHAnsi" w:hAnsiTheme="minorHAnsi" w:cstheme="minorHAnsi"/>
          <w:spacing w:val="-4"/>
          <w:sz w:val="22"/>
          <w:szCs w:val="20"/>
        </w:rPr>
        <w:t xml:space="preserve">included to </w:t>
      </w:r>
      <w:r w:rsidR="00C71476" w:rsidRPr="00F7748E">
        <w:rPr>
          <w:rFonts w:asciiTheme="minorHAnsi" w:hAnsiTheme="minorHAnsi" w:cstheme="minorHAnsi"/>
          <w:spacing w:val="-4"/>
          <w:sz w:val="22"/>
          <w:szCs w:val="20"/>
        </w:rPr>
        <w:t>distinguish between</w:t>
      </w:r>
      <w:r w:rsidRPr="00F7748E">
        <w:rPr>
          <w:rFonts w:asciiTheme="minorHAnsi" w:hAnsiTheme="minorHAnsi" w:cstheme="minorHAnsi"/>
          <w:spacing w:val="-4"/>
          <w:sz w:val="22"/>
          <w:szCs w:val="20"/>
        </w:rPr>
        <w:t xml:space="preserve"> cervicitis and vagin</w:t>
      </w:r>
      <w:r w:rsidR="00C71476" w:rsidRPr="00F7748E">
        <w:rPr>
          <w:rFonts w:asciiTheme="minorHAnsi" w:hAnsiTheme="minorHAnsi" w:cstheme="minorHAnsi"/>
          <w:spacing w:val="-4"/>
          <w:sz w:val="22"/>
          <w:szCs w:val="20"/>
        </w:rPr>
        <w:t>i</w:t>
      </w:r>
      <w:r w:rsidRPr="00F7748E">
        <w:rPr>
          <w:rFonts w:asciiTheme="minorHAnsi" w:hAnsiTheme="minorHAnsi" w:cstheme="minorHAnsi"/>
          <w:spacing w:val="-4"/>
          <w:sz w:val="22"/>
          <w:szCs w:val="20"/>
        </w:rPr>
        <w:t>tis</w:t>
      </w:r>
      <w:r w:rsidR="001D7E11" w:rsidRPr="00F7748E">
        <w:rPr>
          <w:rFonts w:asciiTheme="minorHAnsi" w:hAnsiTheme="minorHAnsi" w:cstheme="minorHAnsi"/>
          <w:spacing w:val="-4"/>
          <w:sz w:val="22"/>
          <w:szCs w:val="20"/>
        </w:rPr>
        <w:t>, in those women with persistent symptoms after treatment for BV</w:t>
      </w:r>
      <w:r w:rsidRPr="00F7748E">
        <w:rPr>
          <w:rFonts w:asciiTheme="minorHAnsi" w:hAnsiTheme="minorHAnsi" w:cstheme="minorHAnsi"/>
          <w:spacing w:val="-4"/>
          <w:sz w:val="22"/>
          <w:szCs w:val="20"/>
        </w:rPr>
        <w:t>.</w:t>
      </w:r>
    </w:p>
    <w:p w:rsidR="000E4F85" w:rsidRPr="00F7748E" w:rsidRDefault="00C56B8A" w:rsidP="00C56B8A">
      <w:pPr>
        <w:widowControl w:val="0"/>
        <w:autoSpaceDE w:val="0"/>
        <w:autoSpaceDN w:val="0"/>
        <w:adjustRightInd w:val="0"/>
        <w:spacing w:after="0" w:line="240" w:lineRule="auto"/>
        <w:jc w:val="both"/>
        <w:rPr>
          <w:rFonts w:cstheme="minorHAnsi"/>
          <w:i/>
          <w:spacing w:val="-4"/>
          <w:szCs w:val="20"/>
        </w:rPr>
      </w:pPr>
      <w:r w:rsidRPr="00F7748E">
        <w:rPr>
          <w:rFonts w:cstheme="minorHAnsi"/>
          <w:i/>
          <w:spacing w:val="-4"/>
          <w:szCs w:val="20"/>
        </w:rPr>
        <w:t xml:space="preserve">Rationale: </w:t>
      </w:r>
    </w:p>
    <w:p w:rsidR="00C56B8A" w:rsidRPr="00F7748E" w:rsidRDefault="00C56B8A" w:rsidP="000E4F85">
      <w:pPr>
        <w:pStyle w:val="ListParagraph"/>
        <w:widowControl w:val="0"/>
        <w:numPr>
          <w:ilvl w:val="0"/>
          <w:numId w:val="9"/>
        </w:numPr>
        <w:autoSpaceDE w:val="0"/>
        <w:autoSpaceDN w:val="0"/>
        <w:adjustRightInd w:val="0"/>
        <w:jc w:val="both"/>
        <w:rPr>
          <w:rFonts w:asciiTheme="minorHAnsi" w:hAnsiTheme="minorHAnsi" w:cstheme="minorHAnsi"/>
          <w:spacing w:val="-4"/>
          <w:sz w:val="22"/>
          <w:szCs w:val="20"/>
        </w:rPr>
      </w:pPr>
      <w:r w:rsidRPr="00F7748E">
        <w:rPr>
          <w:rFonts w:asciiTheme="minorHAnsi" w:hAnsiTheme="minorHAnsi" w:cstheme="minorHAnsi"/>
          <w:spacing w:val="-4"/>
          <w:sz w:val="22"/>
          <w:szCs w:val="20"/>
        </w:rPr>
        <w:t xml:space="preserve">Local surveillance data from the National Aetiological Surveillance (NAS) study (2014-2015) </w:t>
      </w:r>
      <w:r w:rsidR="001D7E11" w:rsidRPr="00F7748E">
        <w:rPr>
          <w:rFonts w:asciiTheme="minorHAnsi" w:hAnsiTheme="minorHAnsi" w:cstheme="minorHAnsi"/>
          <w:spacing w:val="-4"/>
          <w:sz w:val="22"/>
          <w:szCs w:val="20"/>
        </w:rPr>
        <w:t>showed that age was not a good predictor of infection with STI pathogens</w:t>
      </w:r>
      <w:r w:rsidR="00416116" w:rsidRPr="00F7748E">
        <w:rPr>
          <w:rFonts w:asciiTheme="minorHAnsi" w:hAnsiTheme="minorHAnsi" w:cstheme="minorHAnsi"/>
          <w:spacing w:val="-4"/>
          <w:sz w:val="22"/>
          <w:szCs w:val="20"/>
        </w:rPr>
        <w:t xml:space="preserve"> in women with VDS</w:t>
      </w:r>
      <w:r w:rsidR="001D7E11" w:rsidRPr="00F7748E">
        <w:rPr>
          <w:rFonts w:asciiTheme="minorHAnsi" w:hAnsiTheme="minorHAnsi" w:cstheme="minorHAnsi"/>
          <w:spacing w:val="-4"/>
          <w:sz w:val="22"/>
          <w:szCs w:val="20"/>
        </w:rPr>
        <w:t xml:space="preserve">. The survey did not ask women about sexual activity, so the </w:t>
      </w:r>
      <w:r w:rsidR="007F7199" w:rsidRPr="00F7748E">
        <w:rPr>
          <w:rFonts w:asciiTheme="minorHAnsi" w:hAnsiTheme="minorHAnsi" w:cstheme="minorHAnsi"/>
          <w:spacing w:val="-4"/>
          <w:sz w:val="22"/>
          <w:szCs w:val="20"/>
        </w:rPr>
        <w:t>sexual activity</w:t>
      </w:r>
      <w:r w:rsidR="00416116" w:rsidRPr="00F7748E">
        <w:rPr>
          <w:rFonts w:asciiTheme="minorHAnsi" w:hAnsiTheme="minorHAnsi" w:cstheme="minorHAnsi"/>
          <w:spacing w:val="-4"/>
          <w:sz w:val="22"/>
          <w:szCs w:val="20"/>
        </w:rPr>
        <w:t xml:space="preserve"> as a predictor could not be assessed.</w:t>
      </w:r>
      <w:r w:rsidR="00AB3ADA">
        <w:rPr>
          <w:rFonts w:asciiTheme="minorHAnsi" w:hAnsiTheme="minorHAnsi" w:cstheme="minorHAnsi"/>
          <w:spacing w:val="-4"/>
          <w:sz w:val="22"/>
          <w:szCs w:val="20"/>
        </w:rPr>
        <w:t xml:space="preserve"> </w:t>
      </w:r>
      <w:r w:rsidR="00416116" w:rsidRPr="00F7748E">
        <w:rPr>
          <w:rFonts w:asciiTheme="minorHAnsi" w:hAnsiTheme="minorHAnsi" w:cstheme="minorHAnsi"/>
          <w:spacing w:val="-4"/>
          <w:sz w:val="22"/>
          <w:szCs w:val="20"/>
        </w:rPr>
        <w:t>However the</w:t>
      </w:r>
      <w:r w:rsidRPr="00F7748E">
        <w:rPr>
          <w:rFonts w:asciiTheme="minorHAnsi" w:hAnsiTheme="minorHAnsi" w:cstheme="minorHAnsi"/>
          <w:spacing w:val="-4"/>
          <w:sz w:val="22"/>
          <w:szCs w:val="20"/>
        </w:rPr>
        <w:t xml:space="preserve"> PHC </w:t>
      </w:r>
      <w:r w:rsidR="00E86E6D" w:rsidRPr="00F7748E">
        <w:rPr>
          <w:rFonts w:asciiTheme="minorHAnsi" w:hAnsiTheme="minorHAnsi" w:cstheme="minorHAnsi"/>
          <w:spacing w:val="-4"/>
          <w:sz w:val="22"/>
          <w:szCs w:val="20"/>
        </w:rPr>
        <w:t>Committee was</w:t>
      </w:r>
      <w:r w:rsidRPr="00F7748E">
        <w:rPr>
          <w:rFonts w:asciiTheme="minorHAnsi" w:hAnsiTheme="minorHAnsi" w:cstheme="minorHAnsi"/>
          <w:spacing w:val="-4"/>
          <w:sz w:val="22"/>
          <w:szCs w:val="20"/>
        </w:rPr>
        <w:t xml:space="preserve"> of the opinion</w:t>
      </w:r>
      <w:r w:rsidR="00416116" w:rsidRPr="00F7748E">
        <w:rPr>
          <w:rFonts w:asciiTheme="minorHAnsi" w:hAnsiTheme="minorHAnsi" w:cstheme="minorHAnsi"/>
          <w:spacing w:val="-4"/>
          <w:sz w:val="22"/>
          <w:szCs w:val="20"/>
        </w:rPr>
        <w:t xml:space="preserve"> that</w:t>
      </w:r>
      <w:r w:rsidRPr="00F7748E">
        <w:rPr>
          <w:rFonts w:asciiTheme="minorHAnsi" w:hAnsiTheme="minorHAnsi" w:cstheme="minorHAnsi"/>
          <w:spacing w:val="-4"/>
          <w:sz w:val="22"/>
          <w:szCs w:val="20"/>
        </w:rPr>
        <w:t xml:space="preserve"> the latter criterion was more logical and biologically plausible. </w:t>
      </w:r>
    </w:p>
    <w:p w:rsidR="00416116" w:rsidRPr="00F7748E" w:rsidRDefault="00E86E6D" w:rsidP="000E4F85">
      <w:pPr>
        <w:pStyle w:val="ListParagraph"/>
        <w:widowControl w:val="0"/>
        <w:numPr>
          <w:ilvl w:val="0"/>
          <w:numId w:val="9"/>
        </w:numPr>
        <w:autoSpaceDE w:val="0"/>
        <w:autoSpaceDN w:val="0"/>
        <w:adjustRightInd w:val="0"/>
        <w:jc w:val="both"/>
        <w:rPr>
          <w:rFonts w:asciiTheme="minorHAnsi" w:hAnsiTheme="minorHAnsi" w:cstheme="minorHAnsi"/>
          <w:spacing w:val="-4"/>
          <w:sz w:val="22"/>
          <w:szCs w:val="20"/>
        </w:rPr>
      </w:pPr>
      <w:r w:rsidRPr="00F7748E">
        <w:rPr>
          <w:rFonts w:asciiTheme="minorHAnsi" w:hAnsiTheme="minorHAnsi" w:cstheme="minorHAnsi"/>
          <w:spacing w:val="-4"/>
          <w:sz w:val="22"/>
          <w:szCs w:val="20"/>
        </w:rPr>
        <w:t>Local surveillance data from the NAS study (2014-2015) showed that of the 801 VDS cases, only 4.5% had STI and candidiasis co-infection.</w:t>
      </w:r>
    </w:p>
    <w:p w:rsidR="000E4F85" w:rsidRPr="00F7748E" w:rsidRDefault="000E4F85" w:rsidP="000E4F85">
      <w:pPr>
        <w:pStyle w:val="ListParagraph"/>
        <w:widowControl w:val="0"/>
        <w:numPr>
          <w:ilvl w:val="0"/>
          <w:numId w:val="9"/>
        </w:numPr>
        <w:autoSpaceDE w:val="0"/>
        <w:autoSpaceDN w:val="0"/>
        <w:adjustRightInd w:val="0"/>
        <w:jc w:val="both"/>
        <w:rPr>
          <w:rFonts w:asciiTheme="minorHAnsi" w:hAnsiTheme="minorHAnsi" w:cstheme="minorHAnsi"/>
          <w:sz w:val="22"/>
          <w:szCs w:val="20"/>
        </w:rPr>
      </w:pPr>
      <w:r w:rsidRPr="00F7748E">
        <w:rPr>
          <w:rFonts w:asciiTheme="minorHAnsi" w:hAnsiTheme="minorHAnsi" w:cstheme="minorHAnsi"/>
          <w:spacing w:val="-4"/>
          <w:sz w:val="22"/>
          <w:szCs w:val="20"/>
        </w:rPr>
        <w:t xml:space="preserve">Speculum examination </w:t>
      </w:r>
      <w:r w:rsidR="00416116" w:rsidRPr="00F7748E">
        <w:rPr>
          <w:rFonts w:asciiTheme="minorHAnsi" w:hAnsiTheme="minorHAnsi" w:cstheme="minorHAnsi"/>
          <w:spacing w:val="-4"/>
          <w:sz w:val="22"/>
          <w:szCs w:val="20"/>
        </w:rPr>
        <w:t>to distinguish</w:t>
      </w:r>
      <w:r w:rsidRPr="00F7748E">
        <w:rPr>
          <w:rFonts w:asciiTheme="minorHAnsi" w:hAnsiTheme="minorHAnsi" w:cstheme="minorHAnsi"/>
          <w:spacing w:val="-4"/>
          <w:sz w:val="22"/>
          <w:szCs w:val="20"/>
        </w:rPr>
        <w:t xml:space="preserve"> vaginitis and cervicitis,</w:t>
      </w:r>
      <w:r w:rsidR="00416116" w:rsidRPr="00F7748E">
        <w:rPr>
          <w:rFonts w:asciiTheme="minorHAnsi" w:hAnsiTheme="minorHAnsi" w:cstheme="minorHAnsi"/>
          <w:spacing w:val="-4"/>
          <w:sz w:val="22"/>
          <w:szCs w:val="20"/>
        </w:rPr>
        <w:t>may</w:t>
      </w:r>
      <w:r w:rsidRPr="00F7748E">
        <w:rPr>
          <w:rFonts w:asciiTheme="minorHAnsi" w:hAnsiTheme="minorHAnsi" w:cstheme="minorHAnsi"/>
          <w:spacing w:val="-4"/>
          <w:sz w:val="22"/>
          <w:szCs w:val="20"/>
        </w:rPr>
        <w:t>guid</w:t>
      </w:r>
      <w:r w:rsidR="00416116" w:rsidRPr="00F7748E">
        <w:rPr>
          <w:rFonts w:asciiTheme="minorHAnsi" w:hAnsiTheme="minorHAnsi" w:cstheme="minorHAnsi"/>
          <w:spacing w:val="-4"/>
          <w:sz w:val="22"/>
          <w:szCs w:val="20"/>
        </w:rPr>
        <w:t>e</w:t>
      </w:r>
      <w:r w:rsidRPr="00F7748E">
        <w:rPr>
          <w:rFonts w:asciiTheme="minorHAnsi" w:hAnsiTheme="minorHAnsi" w:cstheme="minorHAnsi"/>
          <w:spacing w:val="-4"/>
          <w:sz w:val="22"/>
          <w:szCs w:val="20"/>
        </w:rPr>
        <w:t xml:space="preserve"> appropriate </w:t>
      </w:r>
      <w:r w:rsidR="00416116" w:rsidRPr="00F7748E">
        <w:rPr>
          <w:rFonts w:asciiTheme="minorHAnsi" w:hAnsiTheme="minorHAnsi" w:cstheme="minorHAnsi"/>
          <w:spacing w:val="-4"/>
          <w:sz w:val="22"/>
          <w:szCs w:val="20"/>
        </w:rPr>
        <w:t xml:space="preserve">antibiotic </w:t>
      </w:r>
      <w:r w:rsidRPr="00F7748E">
        <w:rPr>
          <w:rFonts w:asciiTheme="minorHAnsi" w:hAnsiTheme="minorHAnsi" w:cstheme="minorHAnsi"/>
          <w:spacing w:val="-4"/>
          <w:sz w:val="22"/>
          <w:szCs w:val="20"/>
        </w:rPr>
        <w:t>treatment with metronidazole (7 day course) or ceftriaxone + azithromycin, respectively. Speculum examination is recommended in the NDoH STI Programme's Comprehensive STI Clinical Management Guidelines (currently in draft format).</w:t>
      </w:r>
    </w:p>
    <w:p w:rsidR="00C56B8A" w:rsidRPr="00F7748E" w:rsidRDefault="00C56B8A" w:rsidP="00C56B8A">
      <w:pPr>
        <w:widowControl w:val="0"/>
        <w:autoSpaceDE w:val="0"/>
        <w:autoSpaceDN w:val="0"/>
        <w:adjustRightInd w:val="0"/>
        <w:spacing w:after="0" w:line="240" w:lineRule="auto"/>
        <w:jc w:val="both"/>
        <w:rPr>
          <w:rFonts w:cstheme="minorHAnsi"/>
          <w:b/>
          <w:spacing w:val="-4"/>
          <w:szCs w:val="20"/>
        </w:rPr>
      </w:pPr>
      <w:r w:rsidRPr="00F7748E">
        <w:rPr>
          <w:rFonts w:cstheme="minorHAnsi"/>
          <w:b/>
          <w:spacing w:val="-4"/>
          <w:szCs w:val="20"/>
        </w:rPr>
        <w:t>Level of Evidence: III Surveillance data, Guidelines, Expert opinion.</w:t>
      </w:r>
    </w:p>
    <w:p w:rsidR="00C56B8A" w:rsidRPr="00F7748E" w:rsidRDefault="00C56B8A" w:rsidP="00C56B8A">
      <w:pPr>
        <w:widowControl w:val="0"/>
        <w:autoSpaceDE w:val="0"/>
        <w:autoSpaceDN w:val="0"/>
        <w:adjustRightInd w:val="0"/>
        <w:spacing w:after="0" w:line="240" w:lineRule="auto"/>
        <w:jc w:val="both"/>
        <w:rPr>
          <w:rFonts w:cstheme="minorHAnsi"/>
          <w:spacing w:val="-4"/>
          <w:szCs w:val="20"/>
        </w:rPr>
      </w:pPr>
      <w:r w:rsidRPr="00F7748E">
        <w:rPr>
          <w:rFonts w:cstheme="minorHAnsi"/>
          <w:b/>
          <w:spacing w:val="-4"/>
          <w:szCs w:val="20"/>
        </w:rPr>
        <w:t xml:space="preserve">Review indicator: </w:t>
      </w:r>
      <w:r w:rsidRPr="00F7748E">
        <w:rPr>
          <w:rFonts w:cstheme="minorHAnsi"/>
          <w:spacing w:val="-4"/>
          <w:szCs w:val="20"/>
        </w:rPr>
        <w:t xml:space="preserve">New evidence of association </w:t>
      </w:r>
      <w:r w:rsidR="003E4AD5" w:rsidRPr="00F7748E">
        <w:rPr>
          <w:rFonts w:cstheme="minorHAnsi"/>
          <w:spacing w:val="-4"/>
          <w:szCs w:val="20"/>
        </w:rPr>
        <w:t>between</w:t>
      </w:r>
      <w:r w:rsidRPr="00F7748E">
        <w:rPr>
          <w:rFonts w:cstheme="minorHAnsi"/>
          <w:spacing w:val="-4"/>
          <w:szCs w:val="20"/>
        </w:rPr>
        <w:t xml:space="preserve"> sexual activity </w:t>
      </w:r>
      <w:r w:rsidR="003E4AD5" w:rsidRPr="00F7748E">
        <w:rPr>
          <w:rFonts w:cstheme="minorHAnsi"/>
          <w:spacing w:val="-4"/>
          <w:szCs w:val="20"/>
        </w:rPr>
        <w:t>and</w:t>
      </w:r>
      <w:r w:rsidR="00AB3ADA">
        <w:rPr>
          <w:rFonts w:cstheme="minorHAnsi"/>
          <w:spacing w:val="-4"/>
          <w:szCs w:val="20"/>
        </w:rPr>
        <w:t xml:space="preserve"> </w:t>
      </w:r>
      <w:r w:rsidR="003E4AD5" w:rsidRPr="00F7748E">
        <w:rPr>
          <w:rFonts w:cstheme="minorHAnsi"/>
          <w:spacing w:val="-4"/>
          <w:szCs w:val="20"/>
        </w:rPr>
        <w:t xml:space="preserve">infection with </w:t>
      </w:r>
      <w:r w:rsidRPr="00F7748E">
        <w:rPr>
          <w:rFonts w:cstheme="minorHAnsi"/>
          <w:spacing w:val="-4"/>
          <w:szCs w:val="20"/>
        </w:rPr>
        <w:t xml:space="preserve">STI pathogens in women presenting </w:t>
      </w:r>
      <w:r w:rsidR="007F7199" w:rsidRPr="00F7748E">
        <w:rPr>
          <w:rFonts w:cstheme="minorHAnsi"/>
          <w:spacing w:val="-4"/>
          <w:szCs w:val="20"/>
        </w:rPr>
        <w:t>with VDS</w:t>
      </w:r>
      <w:r w:rsidRPr="00F7748E">
        <w:rPr>
          <w:rFonts w:cstheme="minorHAnsi"/>
          <w:spacing w:val="-4"/>
          <w:szCs w:val="20"/>
        </w:rPr>
        <w:t>.</w:t>
      </w:r>
    </w:p>
    <w:p w:rsidR="00C56B8A" w:rsidRPr="00F7748E" w:rsidRDefault="00C56B8A" w:rsidP="00232B40">
      <w:pPr>
        <w:widowControl w:val="0"/>
        <w:autoSpaceDE w:val="0"/>
        <w:autoSpaceDN w:val="0"/>
        <w:adjustRightInd w:val="0"/>
        <w:spacing w:after="0" w:line="240" w:lineRule="auto"/>
        <w:jc w:val="both"/>
        <w:rPr>
          <w:rFonts w:cstheme="minorHAnsi"/>
          <w:spacing w:val="-4"/>
          <w:sz w:val="24"/>
          <w:szCs w:val="20"/>
        </w:rPr>
      </w:pPr>
    </w:p>
    <w:p w:rsidR="00C05DE2" w:rsidRPr="00F7748E" w:rsidRDefault="00C05DE2" w:rsidP="00C05DE2">
      <w:pPr>
        <w:pStyle w:val="CommentText"/>
        <w:widowControl w:val="0"/>
        <w:tabs>
          <w:tab w:val="left" w:pos="567"/>
        </w:tabs>
        <w:jc w:val="both"/>
        <w:rPr>
          <w:rFonts w:asciiTheme="minorHAnsi" w:hAnsiTheme="minorHAnsi" w:cstheme="minorHAnsi"/>
          <w:i/>
          <w:sz w:val="22"/>
        </w:rPr>
      </w:pPr>
      <w:r w:rsidRPr="00F7748E">
        <w:rPr>
          <w:rFonts w:asciiTheme="minorHAnsi" w:hAnsiTheme="minorHAnsi" w:cstheme="minorHAnsi"/>
          <w:sz w:val="22"/>
          <w:u w:val="single"/>
        </w:rPr>
        <w:t>Fluconazole, oral</w:t>
      </w:r>
      <w:r w:rsidRPr="00F7748E">
        <w:rPr>
          <w:rFonts w:asciiTheme="minorHAnsi" w:hAnsiTheme="minorHAnsi" w:cstheme="minorHAnsi"/>
          <w:i/>
          <w:sz w:val="22"/>
        </w:rPr>
        <w:t>: not added</w:t>
      </w:r>
    </w:p>
    <w:p w:rsidR="009C6600" w:rsidRPr="00F7748E" w:rsidRDefault="009C6600" w:rsidP="00C05DE2">
      <w:pPr>
        <w:pStyle w:val="CommentText"/>
        <w:widowControl w:val="0"/>
        <w:tabs>
          <w:tab w:val="left" w:pos="567"/>
        </w:tabs>
        <w:jc w:val="both"/>
        <w:rPr>
          <w:rFonts w:asciiTheme="minorHAnsi" w:hAnsiTheme="minorHAnsi" w:cstheme="minorHAnsi"/>
          <w:i/>
          <w:sz w:val="22"/>
        </w:rPr>
      </w:pPr>
    </w:p>
    <w:p w:rsidR="00C05DE2" w:rsidRPr="00F7748E" w:rsidRDefault="00C05DE2" w:rsidP="00C05DE2">
      <w:pPr>
        <w:pStyle w:val="CommentText"/>
        <w:widowControl w:val="0"/>
        <w:tabs>
          <w:tab w:val="left" w:pos="567"/>
        </w:tabs>
        <w:jc w:val="both"/>
        <w:rPr>
          <w:rFonts w:asciiTheme="minorHAnsi" w:hAnsiTheme="minorHAnsi" w:cstheme="minorHAnsi"/>
          <w:sz w:val="22"/>
        </w:rPr>
      </w:pPr>
      <w:r w:rsidRPr="00F7748E">
        <w:rPr>
          <w:rFonts w:asciiTheme="minorHAnsi" w:hAnsiTheme="minorHAnsi" w:cstheme="minorHAnsi"/>
          <w:sz w:val="22"/>
        </w:rPr>
        <w:t xml:space="preserve">The PHC Committee considered that fluconazole was not pragmatic for treating candidiasis that is not responsive to clotrimazole, </w:t>
      </w:r>
      <w:r w:rsidR="004F1547" w:rsidRPr="00F7748E">
        <w:rPr>
          <w:rFonts w:asciiTheme="minorHAnsi" w:hAnsiTheme="minorHAnsi" w:cstheme="minorHAnsi"/>
          <w:sz w:val="22"/>
        </w:rPr>
        <w:t>t</w:t>
      </w:r>
      <w:r w:rsidRPr="00F7748E">
        <w:rPr>
          <w:rFonts w:asciiTheme="minorHAnsi" w:hAnsiTheme="minorHAnsi" w:cstheme="minorHAnsi"/>
          <w:sz w:val="22"/>
        </w:rPr>
        <w:t>opical/per vagina at primary level of care. Usage creep and hepatotoxicity associated with fluconazole were raised as concerns.</w:t>
      </w:r>
    </w:p>
    <w:p w:rsidR="00C05DE2" w:rsidRPr="00F7748E" w:rsidRDefault="00C05DE2" w:rsidP="00C05DE2">
      <w:pPr>
        <w:pStyle w:val="CommentText"/>
        <w:widowControl w:val="0"/>
        <w:tabs>
          <w:tab w:val="left" w:pos="567"/>
        </w:tabs>
        <w:jc w:val="both"/>
        <w:rPr>
          <w:rFonts w:asciiTheme="minorHAnsi" w:hAnsiTheme="minorHAnsi" w:cstheme="minorHAnsi"/>
          <w:b/>
          <w:sz w:val="22"/>
        </w:rPr>
      </w:pPr>
      <w:r w:rsidRPr="00F7748E">
        <w:rPr>
          <w:rFonts w:asciiTheme="minorHAnsi" w:hAnsiTheme="minorHAnsi" w:cstheme="minorHAnsi"/>
          <w:b/>
          <w:sz w:val="22"/>
        </w:rPr>
        <w:t>Level of Evidence: III Expert opin</w:t>
      </w:r>
      <w:r w:rsidR="004F1547" w:rsidRPr="00F7748E">
        <w:rPr>
          <w:rFonts w:asciiTheme="minorHAnsi" w:hAnsiTheme="minorHAnsi" w:cstheme="minorHAnsi"/>
          <w:b/>
          <w:sz w:val="22"/>
        </w:rPr>
        <w:t>i</w:t>
      </w:r>
      <w:r w:rsidRPr="00F7748E">
        <w:rPr>
          <w:rFonts w:asciiTheme="minorHAnsi" w:hAnsiTheme="minorHAnsi" w:cstheme="minorHAnsi"/>
          <w:b/>
          <w:sz w:val="22"/>
        </w:rPr>
        <w:t>on</w:t>
      </w:r>
    </w:p>
    <w:p w:rsidR="00EB6922" w:rsidRPr="00F7748E" w:rsidRDefault="00EB6922" w:rsidP="00232B40">
      <w:pPr>
        <w:widowControl w:val="0"/>
        <w:autoSpaceDE w:val="0"/>
        <w:autoSpaceDN w:val="0"/>
        <w:adjustRightInd w:val="0"/>
        <w:spacing w:after="0" w:line="240" w:lineRule="auto"/>
        <w:jc w:val="both"/>
        <w:rPr>
          <w:rFonts w:cstheme="minorHAnsi"/>
          <w:b/>
          <w:spacing w:val="-4"/>
          <w:szCs w:val="20"/>
        </w:rPr>
      </w:pPr>
    </w:p>
    <w:p w:rsidR="00EB6922" w:rsidRPr="00F7748E" w:rsidRDefault="00C05DE2" w:rsidP="00232B40">
      <w:pPr>
        <w:widowControl w:val="0"/>
        <w:autoSpaceDE w:val="0"/>
        <w:autoSpaceDN w:val="0"/>
        <w:adjustRightInd w:val="0"/>
        <w:spacing w:after="0" w:line="240" w:lineRule="auto"/>
        <w:jc w:val="both"/>
        <w:rPr>
          <w:rFonts w:cstheme="minorHAnsi"/>
          <w:i/>
          <w:spacing w:val="-4"/>
          <w:szCs w:val="20"/>
        </w:rPr>
      </w:pPr>
      <w:r w:rsidRPr="00F7748E">
        <w:rPr>
          <w:rFonts w:cstheme="minorHAnsi"/>
          <w:spacing w:val="-4"/>
          <w:szCs w:val="20"/>
          <w:u w:val="single"/>
        </w:rPr>
        <w:t xml:space="preserve">Clotrimazole, topical: </w:t>
      </w:r>
      <w:r w:rsidRPr="00F7748E">
        <w:rPr>
          <w:rFonts w:cstheme="minorHAnsi"/>
          <w:i/>
          <w:spacing w:val="-4"/>
          <w:szCs w:val="20"/>
        </w:rPr>
        <w:t>added</w:t>
      </w:r>
    </w:p>
    <w:p w:rsidR="009C6600" w:rsidRPr="00F7748E" w:rsidRDefault="009C6600" w:rsidP="00232B40">
      <w:pPr>
        <w:widowControl w:val="0"/>
        <w:autoSpaceDE w:val="0"/>
        <w:autoSpaceDN w:val="0"/>
        <w:adjustRightInd w:val="0"/>
        <w:spacing w:after="0" w:line="240" w:lineRule="auto"/>
        <w:jc w:val="both"/>
        <w:rPr>
          <w:rFonts w:cstheme="minorHAnsi"/>
          <w:i/>
          <w:spacing w:val="-4"/>
          <w:szCs w:val="20"/>
        </w:rPr>
      </w:pPr>
    </w:p>
    <w:p w:rsidR="00C36E78" w:rsidRPr="00F7748E" w:rsidRDefault="00C05DE2" w:rsidP="00C05DE2">
      <w:pPr>
        <w:pStyle w:val="CommentText"/>
        <w:widowControl w:val="0"/>
        <w:tabs>
          <w:tab w:val="left" w:pos="567"/>
        </w:tabs>
        <w:jc w:val="both"/>
        <w:rPr>
          <w:rFonts w:asciiTheme="minorHAnsi" w:hAnsiTheme="minorHAnsi" w:cstheme="minorHAnsi"/>
          <w:sz w:val="22"/>
        </w:rPr>
      </w:pPr>
      <w:r w:rsidRPr="00F7748E">
        <w:rPr>
          <w:rFonts w:asciiTheme="minorHAnsi" w:hAnsiTheme="minorHAnsi" w:cstheme="minorHAnsi"/>
          <w:sz w:val="22"/>
        </w:rPr>
        <w:t xml:space="preserve">VDS algorithm recommends </w:t>
      </w:r>
      <w:r w:rsidR="00C36E78" w:rsidRPr="00F7748E">
        <w:rPr>
          <w:rFonts w:asciiTheme="minorHAnsi" w:hAnsiTheme="minorHAnsi" w:cstheme="minorHAnsi"/>
          <w:sz w:val="22"/>
        </w:rPr>
        <w:t>clotrimazole cream topically if prominent vulval symptoms</w:t>
      </w:r>
      <w:r w:rsidRPr="00F7748E">
        <w:rPr>
          <w:rFonts w:asciiTheme="minorHAnsi" w:hAnsiTheme="minorHAnsi" w:cstheme="minorHAnsi"/>
          <w:sz w:val="22"/>
        </w:rPr>
        <w:t xml:space="preserve"> are present</w:t>
      </w:r>
      <w:r w:rsidR="007F7199" w:rsidRPr="00F7748E">
        <w:rPr>
          <w:rFonts w:asciiTheme="minorHAnsi" w:hAnsiTheme="minorHAnsi" w:cstheme="minorHAnsi"/>
          <w:sz w:val="22"/>
        </w:rPr>
        <w:t xml:space="preserve"> (Clotrimazole, topical was in the 2008 VDS </w:t>
      </w:r>
      <w:r w:rsidR="00AB3ADA" w:rsidRPr="00F7748E">
        <w:rPr>
          <w:rFonts w:asciiTheme="minorHAnsi" w:hAnsiTheme="minorHAnsi" w:cstheme="minorHAnsi"/>
          <w:sz w:val="22"/>
        </w:rPr>
        <w:t>algorithm</w:t>
      </w:r>
      <w:r w:rsidR="007F7199" w:rsidRPr="00F7748E">
        <w:rPr>
          <w:rFonts w:asciiTheme="minorHAnsi" w:hAnsiTheme="minorHAnsi" w:cstheme="minorHAnsi"/>
          <w:sz w:val="22"/>
        </w:rPr>
        <w:t>, removed from the 2014 version and recommended for re-inclusion in the updated VDS algorithm).</w:t>
      </w:r>
    </w:p>
    <w:p w:rsidR="00100D69" w:rsidRPr="00F7748E" w:rsidRDefault="00C05DE2" w:rsidP="00C05DE2">
      <w:pPr>
        <w:spacing w:after="0"/>
        <w:rPr>
          <w:b/>
          <w:szCs w:val="20"/>
        </w:rPr>
      </w:pPr>
      <w:r w:rsidRPr="00F7748E">
        <w:rPr>
          <w:b/>
          <w:szCs w:val="20"/>
        </w:rPr>
        <w:t>Level of Evidence: III Expert opinion</w:t>
      </w:r>
    </w:p>
    <w:p w:rsidR="00615DC1" w:rsidRPr="00F7748E" w:rsidRDefault="00615DC1" w:rsidP="00C05DE2">
      <w:pPr>
        <w:spacing w:after="0"/>
      </w:pPr>
    </w:p>
    <w:p w:rsidR="009C6600" w:rsidRPr="00F7748E" w:rsidRDefault="00615DC1" w:rsidP="00C05DE2">
      <w:pPr>
        <w:spacing w:after="0"/>
        <w:rPr>
          <w:rFonts w:cstheme="minorHAnsi"/>
          <w:b/>
          <w:szCs w:val="20"/>
        </w:rPr>
      </w:pPr>
      <w:r w:rsidRPr="00F7748E">
        <w:rPr>
          <w:rFonts w:cstheme="minorHAnsi"/>
          <w:b/>
          <w:szCs w:val="20"/>
        </w:rPr>
        <w:t>REFERRAL</w:t>
      </w:r>
    </w:p>
    <w:p w:rsidR="00615DC1" w:rsidRPr="00F7748E" w:rsidRDefault="00615DC1" w:rsidP="00615DC1">
      <w:pPr>
        <w:widowControl w:val="0"/>
        <w:autoSpaceDE w:val="0"/>
        <w:autoSpaceDN w:val="0"/>
        <w:adjustRightInd w:val="0"/>
        <w:spacing w:after="0"/>
        <w:jc w:val="both"/>
        <w:rPr>
          <w:rFonts w:cstheme="minorHAnsi"/>
          <w:spacing w:val="-4"/>
          <w:szCs w:val="20"/>
        </w:rPr>
      </w:pPr>
      <w:r w:rsidRPr="00F7748E">
        <w:rPr>
          <w:rFonts w:cstheme="minorHAnsi"/>
          <w:b/>
          <w:spacing w:val="-4"/>
          <w:szCs w:val="20"/>
        </w:rPr>
        <w:t>Recommendation:</w:t>
      </w:r>
      <w:r w:rsidRPr="00F7748E">
        <w:rPr>
          <w:rFonts w:cstheme="minorHAnsi"/>
          <w:spacing w:val="-4"/>
          <w:szCs w:val="20"/>
        </w:rPr>
        <w:t xml:space="preserve"> Patients failing treatment as indicated in the VDS algorithm </w:t>
      </w:r>
      <w:r w:rsidR="00605914" w:rsidRPr="00F7748E">
        <w:rPr>
          <w:rFonts w:cstheme="minorHAnsi"/>
          <w:spacing w:val="-4"/>
          <w:szCs w:val="20"/>
        </w:rPr>
        <w:t>must</w:t>
      </w:r>
      <w:r w:rsidRPr="00F7748E">
        <w:rPr>
          <w:rFonts w:cstheme="minorHAnsi"/>
          <w:spacing w:val="-4"/>
          <w:szCs w:val="20"/>
        </w:rPr>
        <w:t xml:space="preserve"> be referred. Their management should be included in the Adult Hospital Level STG.</w:t>
      </w:r>
    </w:p>
    <w:p w:rsidR="00615DC1" w:rsidRPr="00F7748E" w:rsidRDefault="00615DC1" w:rsidP="00615DC1">
      <w:pPr>
        <w:spacing w:after="0" w:line="240" w:lineRule="auto"/>
        <w:contextualSpacing/>
        <w:jc w:val="both"/>
        <w:rPr>
          <w:szCs w:val="20"/>
        </w:rPr>
      </w:pPr>
      <w:r w:rsidRPr="00F7748E">
        <w:rPr>
          <w:rFonts w:cstheme="minorHAnsi"/>
          <w:i/>
          <w:spacing w:val="-4"/>
          <w:szCs w:val="20"/>
        </w:rPr>
        <w:t xml:space="preserve">Rationale: </w:t>
      </w:r>
      <w:r w:rsidRPr="00F7748E">
        <w:rPr>
          <w:szCs w:val="20"/>
        </w:rPr>
        <w:t xml:space="preserve">Specimens </w:t>
      </w:r>
      <w:r w:rsidR="00605914" w:rsidRPr="00F7748E">
        <w:rPr>
          <w:szCs w:val="20"/>
        </w:rPr>
        <w:t>must</w:t>
      </w:r>
      <w:r w:rsidRPr="00F7748E">
        <w:rPr>
          <w:szCs w:val="20"/>
        </w:rPr>
        <w:t xml:space="preserve"> be sent for specific antibiotic susceptibility tests, if there is treatment failure at primary level of care.</w:t>
      </w:r>
    </w:p>
    <w:p w:rsidR="00615DC1" w:rsidRDefault="00615DC1" w:rsidP="00615DC1">
      <w:pPr>
        <w:widowControl w:val="0"/>
        <w:autoSpaceDE w:val="0"/>
        <w:autoSpaceDN w:val="0"/>
        <w:adjustRightInd w:val="0"/>
        <w:spacing w:after="0" w:line="240" w:lineRule="auto"/>
        <w:jc w:val="both"/>
        <w:rPr>
          <w:rFonts w:cstheme="minorHAnsi"/>
          <w:b/>
          <w:spacing w:val="-4"/>
          <w:szCs w:val="20"/>
        </w:rPr>
      </w:pPr>
      <w:r w:rsidRPr="00F7748E">
        <w:rPr>
          <w:rFonts w:cstheme="minorHAnsi"/>
          <w:b/>
          <w:spacing w:val="-4"/>
          <w:szCs w:val="20"/>
        </w:rPr>
        <w:t>Level of Evidence: III Expert opinion</w:t>
      </w:r>
    </w:p>
    <w:p w:rsidR="00F7748E" w:rsidRPr="00F7748E" w:rsidRDefault="00F7748E" w:rsidP="00615DC1">
      <w:pPr>
        <w:widowControl w:val="0"/>
        <w:autoSpaceDE w:val="0"/>
        <w:autoSpaceDN w:val="0"/>
        <w:adjustRightInd w:val="0"/>
        <w:spacing w:after="0" w:line="240" w:lineRule="auto"/>
        <w:jc w:val="both"/>
        <w:rPr>
          <w:rFonts w:cstheme="minorHAnsi"/>
          <w:b/>
          <w:spacing w:val="-4"/>
          <w:szCs w:val="20"/>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276AF0" w:rsidRPr="00AB3ADA" w:rsidTr="00E24513">
        <w:tc>
          <w:tcPr>
            <w:tcW w:w="9242" w:type="dxa"/>
            <w:tcBorders>
              <w:top w:val="double" w:sz="4" w:space="0" w:color="C0C0C0"/>
              <w:left w:val="double" w:sz="4" w:space="0" w:color="C0C0C0"/>
              <w:bottom w:val="double" w:sz="4" w:space="0" w:color="C0C0C0"/>
              <w:right w:val="double" w:sz="4" w:space="0" w:color="C0C0C0"/>
            </w:tcBorders>
          </w:tcPr>
          <w:p w:rsidR="00276AF0" w:rsidRPr="00AB3ADA" w:rsidRDefault="00276AF0" w:rsidP="00276AF0">
            <w:pPr>
              <w:widowControl w:val="0"/>
              <w:autoSpaceDE w:val="0"/>
              <w:autoSpaceDN w:val="0"/>
              <w:adjustRightInd w:val="0"/>
              <w:spacing w:before="120" w:after="120" w:line="240" w:lineRule="auto"/>
              <w:rPr>
                <w:rFonts w:cstheme="minorHAnsi"/>
                <w:b/>
              </w:rPr>
            </w:pPr>
            <w:r w:rsidRPr="00AB3ADA">
              <w:rPr>
                <w:rFonts w:cstheme="minorHAnsi"/>
                <w:b/>
                <w:bCs/>
              </w:rPr>
              <w:t>12.2 LOWER ABDOMINAL PAIN (LAP)</w:t>
            </w:r>
          </w:p>
        </w:tc>
      </w:tr>
    </w:tbl>
    <w:p w:rsidR="00D82CEB" w:rsidRPr="00F7748E" w:rsidRDefault="00D82CEB" w:rsidP="00D82CEB">
      <w:pPr>
        <w:widowControl w:val="0"/>
        <w:autoSpaceDE w:val="0"/>
        <w:autoSpaceDN w:val="0"/>
        <w:adjustRightInd w:val="0"/>
        <w:spacing w:after="0" w:line="240" w:lineRule="auto"/>
        <w:jc w:val="both"/>
        <w:rPr>
          <w:rFonts w:cstheme="minorHAnsi"/>
          <w:b/>
          <w:spacing w:val="-4"/>
          <w:szCs w:val="20"/>
        </w:rPr>
      </w:pPr>
      <w:r w:rsidRPr="00F7748E">
        <w:rPr>
          <w:rFonts w:cstheme="minorHAnsi"/>
          <w:b/>
          <w:spacing w:val="-4"/>
          <w:szCs w:val="20"/>
        </w:rPr>
        <w:t>Severely ill patients: Severe penicillin allergy</w:t>
      </w:r>
    </w:p>
    <w:p w:rsidR="00D82CEB" w:rsidRPr="00F7748E" w:rsidRDefault="00D82CEB" w:rsidP="00D82CEB">
      <w:pPr>
        <w:widowControl w:val="0"/>
        <w:autoSpaceDE w:val="0"/>
        <w:autoSpaceDN w:val="0"/>
        <w:adjustRightInd w:val="0"/>
        <w:spacing w:after="0" w:line="240" w:lineRule="auto"/>
        <w:jc w:val="both"/>
        <w:rPr>
          <w:rFonts w:cstheme="minorHAnsi"/>
          <w:spacing w:val="-4"/>
          <w:szCs w:val="20"/>
        </w:rPr>
      </w:pPr>
      <w:r w:rsidRPr="00F7748E">
        <w:rPr>
          <w:rFonts w:cstheme="minorHAnsi"/>
          <w:spacing w:val="-4"/>
          <w:szCs w:val="20"/>
          <w:u w:val="single"/>
        </w:rPr>
        <w:t>Gentamicin, IV:</w:t>
      </w:r>
      <w:r w:rsidR="00AB3ADA">
        <w:rPr>
          <w:rFonts w:cstheme="minorHAnsi"/>
          <w:spacing w:val="-4"/>
          <w:szCs w:val="20"/>
          <w:u w:val="single"/>
        </w:rPr>
        <w:t xml:space="preserve"> </w:t>
      </w:r>
      <w:r w:rsidRPr="00F7748E">
        <w:rPr>
          <w:rFonts w:cstheme="minorHAnsi"/>
          <w:i/>
          <w:spacing w:val="-4"/>
          <w:szCs w:val="20"/>
        </w:rPr>
        <w:t>not added</w:t>
      </w:r>
    </w:p>
    <w:p w:rsidR="00D82CEB" w:rsidRPr="00F7748E" w:rsidRDefault="00D82CEB" w:rsidP="00D82CEB">
      <w:pPr>
        <w:widowControl w:val="0"/>
        <w:autoSpaceDE w:val="0"/>
        <w:autoSpaceDN w:val="0"/>
        <w:adjustRightInd w:val="0"/>
        <w:spacing w:after="0" w:line="240" w:lineRule="auto"/>
        <w:jc w:val="both"/>
        <w:rPr>
          <w:rFonts w:cstheme="minorHAnsi"/>
          <w:i/>
          <w:spacing w:val="-4"/>
          <w:szCs w:val="20"/>
        </w:rPr>
      </w:pPr>
      <w:r w:rsidRPr="00F7748E">
        <w:rPr>
          <w:rFonts w:cstheme="minorHAnsi"/>
          <w:spacing w:val="-4"/>
          <w:szCs w:val="20"/>
          <w:u w:val="single"/>
        </w:rPr>
        <w:t>Clindamycin, IV:</w:t>
      </w:r>
      <w:r w:rsidR="00AB3ADA">
        <w:rPr>
          <w:rFonts w:cstheme="minorHAnsi"/>
          <w:spacing w:val="-4"/>
          <w:szCs w:val="20"/>
          <w:u w:val="single"/>
        </w:rPr>
        <w:t xml:space="preserve"> </w:t>
      </w:r>
      <w:r w:rsidRPr="00F7748E">
        <w:rPr>
          <w:rFonts w:cstheme="minorHAnsi"/>
          <w:i/>
          <w:spacing w:val="-4"/>
          <w:szCs w:val="20"/>
        </w:rPr>
        <w:t>not added</w:t>
      </w:r>
    </w:p>
    <w:p w:rsidR="00276AF0" w:rsidRPr="00F7748E" w:rsidRDefault="00276AF0" w:rsidP="00D82CEB">
      <w:pPr>
        <w:widowControl w:val="0"/>
        <w:autoSpaceDE w:val="0"/>
        <w:autoSpaceDN w:val="0"/>
        <w:adjustRightInd w:val="0"/>
        <w:spacing w:after="0" w:line="240" w:lineRule="auto"/>
        <w:jc w:val="both"/>
        <w:rPr>
          <w:rFonts w:cstheme="minorHAnsi"/>
          <w:spacing w:val="-4"/>
          <w:szCs w:val="20"/>
        </w:rPr>
      </w:pPr>
      <w:r w:rsidRPr="00F7748E">
        <w:rPr>
          <w:rFonts w:cstheme="minorHAnsi"/>
          <w:spacing w:val="-4"/>
          <w:szCs w:val="20"/>
          <w:u w:val="single"/>
        </w:rPr>
        <w:t>Ciprofloxacin, oral:</w:t>
      </w:r>
      <w:r w:rsidRPr="00F7748E">
        <w:rPr>
          <w:rFonts w:cstheme="minorHAnsi"/>
          <w:i/>
          <w:spacing w:val="-4"/>
          <w:szCs w:val="20"/>
        </w:rPr>
        <w:t xml:space="preserve"> not added</w:t>
      </w:r>
    </w:p>
    <w:p w:rsidR="00D82CEB" w:rsidRPr="00F7748E" w:rsidRDefault="00D82CEB" w:rsidP="00D82CEB">
      <w:pPr>
        <w:widowControl w:val="0"/>
        <w:autoSpaceDE w:val="0"/>
        <w:autoSpaceDN w:val="0"/>
        <w:adjustRightInd w:val="0"/>
        <w:spacing w:after="0" w:line="240" w:lineRule="auto"/>
        <w:jc w:val="both"/>
        <w:rPr>
          <w:rFonts w:cstheme="minorHAnsi"/>
          <w:spacing w:val="-4"/>
          <w:szCs w:val="20"/>
        </w:rPr>
      </w:pPr>
      <w:r w:rsidRPr="00F7748E">
        <w:rPr>
          <w:rFonts w:cstheme="minorHAnsi"/>
          <w:spacing w:val="-4"/>
          <w:szCs w:val="20"/>
          <w:u w:val="single"/>
        </w:rPr>
        <w:t>Ceftriaxone, IV, 1 g</w:t>
      </w:r>
      <w:r w:rsidRPr="00F7748E">
        <w:rPr>
          <w:rFonts w:cstheme="minorHAnsi"/>
          <w:spacing w:val="-4"/>
          <w:szCs w:val="20"/>
        </w:rPr>
        <w:t xml:space="preserve">: </w:t>
      </w:r>
      <w:r w:rsidRPr="00F7748E">
        <w:rPr>
          <w:rFonts w:cstheme="minorHAnsi"/>
          <w:i/>
          <w:spacing w:val="-4"/>
          <w:szCs w:val="20"/>
        </w:rPr>
        <w:t>retained</w:t>
      </w:r>
    </w:p>
    <w:p w:rsidR="00D82CEB" w:rsidRPr="00F7748E" w:rsidRDefault="00D82CEB" w:rsidP="00D82CEB">
      <w:pPr>
        <w:widowControl w:val="0"/>
        <w:autoSpaceDE w:val="0"/>
        <w:autoSpaceDN w:val="0"/>
        <w:adjustRightInd w:val="0"/>
        <w:spacing w:after="0" w:line="240" w:lineRule="auto"/>
        <w:jc w:val="both"/>
        <w:rPr>
          <w:rFonts w:cstheme="minorHAnsi"/>
          <w:i/>
          <w:spacing w:val="-4"/>
          <w:szCs w:val="20"/>
        </w:rPr>
      </w:pPr>
      <w:r w:rsidRPr="00F7748E">
        <w:rPr>
          <w:rFonts w:cstheme="minorHAnsi"/>
          <w:spacing w:val="-4"/>
          <w:szCs w:val="20"/>
          <w:u w:val="single"/>
        </w:rPr>
        <w:t>Metronidazole, oral, 400mg</w:t>
      </w:r>
      <w:r w:rsidRPr="00F7748E">
        <w:rPr>
          <w:rFonts w:cstheme="minorHAnsi"/>
          <w:spacing w:val="-4"/>
          <w:szCs w:val="20"/>
        </w:rPr>
        <w:t xml:space="preserve">: </w:t>
      </w:r>
      <w:r w:rsidRPr="00F7748E">
        <w:rPr>
          <w:rFonts w:cstheme="minorHAnsi"/>
          <w:i/>
          <w:spacing w:val="-4"/>
          <w:szCs w:val="20"/>
        </w:rPr>
        <w:t>retained</w:t>
      </w:r>
    </w:p>
    <w:p w:rsidR="009C6600" w:rsidRPr="00F7748E" w:rsidRDefault="009C6600" w:rsidP="00D82CEB">
      <w:pPr>
        <w:widowControl w:val="0"/>
        <w:autoSpaceDE w:val="0"/>
        <w:autoSpaceDN w:val="0"/>
        <w:adjustRightInd w:val="0"/>
        <w:spacing w:after="0" w:line="240" w:lineRule="auto"/>
        <w:jc w:val="both"/>
        <w:rPr>
          <w:rFonts w:cstheme="minorHAnsi"/>
          <w:spacing w:val="-4"/>
          <w:szCs w:val="20"/>
        </w:rPr>
      </w:pPr>
    </w:p>
    <w:p w:rsidR="00D82CEB" w:rsidRPr="00F7748E" w:rsidRDefault="00276AF0" w:rsidP="00D82CEB">
      <w:pPr>
        <w:widowControl w:val="0"/>
        <w:autoSpaceDE w:val="0"/>
        <w:autoSpaceDN w:val="0"/>
        <w:adjustRightInd w:val="0"/>
        <w:spacing w:after="0" w:line="240" w:lineRule="auto"/>
        <w:jc w:val="both"/>
        <w:rPr>
          <w:rFonts w:cstheme="minorHAnsi"/>
          <w:spacing w:val="-4"/>
          <w:szCs w:val="20"/>
        </w:rPr>
      </w:pPr>
      <w:r w:rsidRPr="00F7748E">
        <w:rPr>
          <w:rFonts w:cstheme="minorHAnsi"/>
          <w:spacing w:val="-4"/>
          <w:szCs w:val="20"/>
        </w:rPr>
        <w:t>Gentamicin, IV, clindamycin, IV and</w:t>
      </w:r>
      <w:r w:rsidR="00D82CEB" w:rsidRPr="00F7748E">
        <w:rPr>
          <w:rFonts w:cstheme="minorHAnsi"/>
          <w:spacing w:val="-4"/>
          <w:szCs w:val="20"/>
        </w:rPr>
        <w:t xml:space="preserve"> ciprofloxacin, </w:t>
      </w:r>
      <w:r w:rsidRPr="00F7748E">
        <w:rPr>
          <w:rFonts w:cstheme="minorHAnsi"/>
          <w:spacing w:val="-4"/>
          <w:szCs w:val="20"/>
        </w:rPr>
        <w:t>oral not</w:t>
      </w:r>
      <w:r w:rsidR="00D82CEB" w:rsidRPr="00F7748E">
        <w:rPr>
          <w:rFonts w:cstheme="minorHAnsi"/>
          <w:spacing w:val="-4"/>
          <w:szCs w:val="20"/>
        </w:rPr>
        <w:t xml:space="preserve"> be recommended for severe penicillin allergic patients as a single dose prior to referral to secondary level of care.</w:t>
      </w:r>
    </w:p>
    <w:p w:rsidR="00D82CEB" w:rsidRPr="00F7748E" w:rsidRDefault="00D82CEB" w:rsidP="00D82CEB">
      <w:pPr>
        <w:widowControl w:val="0"/>
        <w:autoSpaceDE w:val="0"/>
        <w:autoSpaceDN w:val="0"/>
        <w:adjustRightInd w:val="0"/>
        <w:spacing w:after="0" w:line="240" w:lineRule="auto"/>
        <w:jc w:val="both"/>
        <w:rPr>
          <w:rFonts w:cstheme="minorHAnsi"/>
          <w:spacing w:val="-4"/>
          <w:szCs w:val="20"/>
        </w:rPr>
      </w:pPr>
      <w:r w:rsidRPr="00F7748E">
        <w:rPr>
          <w:rFonts w:cstheme="minorHAnsi"/>
          <w:i/>
          <w:spacing w:val="-4"/>
          <w:szCs w:val="20"/>
        </w:rPr>
        <w:t>Rationale:</w:t>
      </w:r>
      <w:r w:rsidRPr="00F7748E">
        <w:rPr>
          <w:rFonts w:cstheme="minorHAnsi"/>
          <w:spacing w:val="-4"/>
          <w:szCs w:val="20"/>
        </w:rPr>
        <w:t xml:space="preserve"> This is a single pre-referral dose and primary healthcare workers are trained in the management of anaphylaxis with relevant medicines available on emergency trolleys. The PHC Committee was of the opinion that it was not pragmatic to add gentamicin IV</w:t>
      </w:r>
      <w:r w:rsidR="00276AF0" w:rsidRPr="00F7748E">
        <w:rPr>
          <w:rFonts w:cstheme="minorHAnsi"/>
          <w:spacing w:val="-4"/>
          <w:szCs w:val="20"/>
        </w:rPr>
        <w:t>,</w:t>
      </w:r>
      <w:r w:rsidRPr="00F7748E">
        <w:rPr>
          <w:rFonts w:cstheme="minorHAnsi"/>
          <w:spacing w:val="-4"/>
          <w:szCs w:val="20"/>
        </w:rPr>
        <w:t xml:space="preserve"> clindamycin, IV </w:t>
      </w:r>
      <w:r w:rsidR="00276AF0" w:rsidRPr="00F7748E">
        <w:rPr>
          <w:rFonts w:cstheme="minorHAnsi"/>
          <w:spacing w:val="-4"/>
          <w:szCs w:val="20"/>
        </w:rPr>
        <w:t xml:space="preserve">and ciprofloxacin, oral </w:t>
      </w:r>
      <w:r w:rsidRPr="00F7748E">
        <w:rPr>
          <w:rFonts w:cstheme="minorHAnsi"/>
          <w:spacing w:val="-4"/>
          <w:szCs w:val="20"/>
        </w:rPr>
        <w:t xml:space="preserve">to the PHC EML for a single </w:t>
      </w:r>
      <w:r w:rsidR="00126868" w:rsidRPr="00F7748E">
        <w:rPr>
          <w:rFonts w:cstheme="minorHAnsi"/>
          <w:spacing w:val="-4"/>
          <w:szCs w:val="20"/>
        </w:rPr>
        <w:t>indication, which was possibly uncommon</w:t>
      </w:r>
      <w:r w:rsidRPr="00F7748E">
        <w:rPr>
          <w:rFonts w:cstheme="minorHAnsi"/>
          <w:spacing w:val="-4"/>
          <w:szCs w:val="20"/>
        </w:rPr>
        <w:t>.</w:t>
      </w:r>
    </w:p>
    <w:p w:rsidR="00D82CEB" w:rsidRPr="00F7748E" w:rsidRDefault="00D82CEB" w:rsidP="00D82CEB">
      <w:pPr>
        <w:widowControl w:val="0"/>
        <w:autoSpaceDE w:val="0"/>
        <w:autoSpaceDN w:val="0"/>
        <w:adjustRightInd w:val="0"/>
        <w:spacing w:after="0" w:line="240" w:lineRule="auto"/>
        <w:jc w:val="both"/>
        <w:rPr>
          <w:rFonts w:cstheme="minorHAnsi"/>
          <w:b/>
          <w:spacing w:val="-4"/>
          <w:szCs w:val="20"/>
        </w:rPr>
      </w:pPr>
      <w:r w:rsidRPr="00F7748E">
        <w:rPr>
          <w:rFonts w:cstheme="minorHAnsi"/>
          <w:b/>
          <w:spacing w:val="-4"/>
          <w:szCs w:val="20"/>
        </w:rPr>
        <w:t>Level of Evidence: III Expert opinion</w:t>
      </w:r>
    </w:p>
    <w:p w:rsidR="000E4F85" w:rsidRDefault="000E4F85" w:rsidP="00C05DE2">
      <w:pPr>
        <w:spacing w:after="0"/>
        <w:rPr>
          <w:b/>
          <w:sz w:val="24"/>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9C6600" w:rsidRPr="00AB3ADA" w:rsidTr="00E24513">
        <w:tc>
          <w:tcPr>
            <w:tcW w:w="9242" w:type="dxa"/>
            <w:tcBorders>
              <w:top w:val="double" w:sz="4" w:space="0" w:color="C0C0C0"/>
              <w:left w:val="double" w:sz="4" w:space="0" w:color="C0C0C0"/>
              <w:bottom w:val="double" w:sz="4" w:space="0" w:color="C0C0C0"/>
              <w:right w:val="double" w:sz="4" w:space="0" w:color="C0C0C0"/>
            </w:tcBorders>
          </w:tcPr>
          <w:p w:rsidR="009C6600" w:rsidRPr="00AB3ADA" w:rsidRDefault="009C6600" w:rsidP="00E24513">
            <w:pPr>
              <w:widowControl w:val="0"/>
              <w:autoSpaceDE w:val="0"/>
              <w:autoSpaceDN w:val="0"/>
              <w:adjustRightInd w:val="0"/>
              <w:spacing w:before="120" w:after="120" w:line="240" w:lineRule="auto"/>
              <w:rPr>
                <w:rFonts w:cstheme="minorHAnsi"/>
                <w:b/>
              </w:rPr>
            </w:pPr>
            <w:r w:rsidRPr="00AB3ADA">
              <w:rPr>
                <w:rFonts w:cstheme="minorHAnsi"/>
                <w:b/>
                <w:bCs/>
              </w:rPr>
              <w:t>12.5 GENITAL ULCER SYNDROME (GUS)</w:t>
            </w:r>
          </w:p>
        </w:tc>
      </w:tr>
    </w:tbl>
    <w:p w:rsidR="004D054B" w:rsidRPr="00AB3ADA" w:rsidRDefault="004D054B" w:rsidP="009A0AA8">
      <w:pPr>
        <w:widowControl w:val="0"/>
        <w:autoSpaceDE w:val="0"/>
        <w:autoSpaceDN w:val="0"/>
        <w:adjustRightInd w:val="0"/>
        <w:spacing w:after="0" w:line="240" w:lineRule="auto"/>
        <w:jc w:val="both"/>
        <w:rPr>
          <w:rFonts w:cstheme="minorHAnsi"/>
          <w:spacing w:val="-4"/>
        </w:rPr>
      </w:pPr>
      <w:r w:rsidRPr="00AB3ADA">
        <w:rPr>
          <w:rFonts w:cstheme="minorHAnsi"/>
          <w:spacing w:val="-4"/>
          <w:u w:val="single"/>
        </w:rPr>
        <w:t>Benzathine benzylpenicillin, IM</w:t>
      </w:r>
      <w:r w:rsidRPr="00AB3ADA">
        <w:rPr>
          <w:rFonts w:cstheme="minorHAnsi"/>
          <w:spacing w:val="-4"/>
        </w:rPr>
        <w:t xml:space="preserve">: </w:t>
      </w:r>
      <w:r w:rsidRPr="00AB3ADA">
        <w:rPr>
          <w:rFonts w:cstheme="minorHAnsi"/>
          <w:i/>
          <w:spacing w:val="-4"/>
        </w:rPr>
        <w:t>deleted</w:t>
      </w:r>
    </w:p>
    <w:p w:rsidR="004D054B" w:rsidRPr="00AB3ADA" w:rsidRDefault="004D054B" w:rsidP="009A0AA8">
      <w:pPr>
        <w:widowControl w:val="0"/>
        <w:autoSpaceDE w:val="0"/>
        <w:autoSpaceDN w:val="0"/>
        <w:adjustRightInd w:val="0"/>
        <w:spacing w:after="0" w:line="240" w:lineRule="auto"/>
        <w:jc w:val="both"/>
        <w:rPr>
          <w:rFonts w:cstheme="minorHAnsi"/>
          <w:spacing w:val="-4"/>
        </w:rPr>
      </w:pPr>
      <w:r w:rsidRPr="00AB3ADA">
        <w:rPr>
          <w:rFonts w:cstheme="minorHAnsi"/>
          <w:spacing w:val="-4"/>
          <w:u w:val="single"/>
        </w:rPr>
        <w:t>Doxycyline, oral</w:t>
      </w:r>
      <w:r w:rsidRPr="00AB3ADA">
        <w:rPr>
          <w:rFonts w:cstheme="minorHAnsi"/>
          <w:spacing w:val="-4"/>
        </w:rPr>
        <w:t xml:space="preserve">: </w:t>
      </w:r>
      <w:r w:rsidRPr="00AB3ADA">
        <w:rPr>
          <w:rFonts w:cstheme="minorHAnsi"/>
          <w:i/>
          <w:spacing w:val="-4"/>
        </w:rPr>
        <w:t>added</w:t>
      </w:r>
    </w:p>
    <w:p w:rsidR="00AB3ADA" w:rsidRPr="00AB3ADA" w:rsidRDefault="004D054B" w:rsidP="009A0AA8">
      <w:pPr>
        <w:widowControl w:val="0"/>
        <w:autoSpaceDE w:val="0"/>
        <w:autoSpaceDN w:val="0"/>
        <w:adjustRightInd w:val="0"/>
        <w:spacing w:after="0" w:line="240" w:lineRule="auto"/>
        <w:jc w:val="both"/>
        <w:rPr>
          <w:rFonts w:cstheme="minorHAnsi"/>
          <w:spacing w:val="-4"/>
        </w:rPr>
      </w:pPr>
      <w:r w:rsidRPr="00AB3ADA">
        <w:rPr>
          <w:rFonts w:cstheme="minorHAnsi"/>
          <w:spacing w:val="-4"/>
        </w:rPr>
        <w:t>Due to the global shortage of benzathine benzylpenicllin (limited global supply of the active pharmaceutical ingredient) doxycyline, oral is recommended for syndromic management of genital ulcers, except in pregnancy. Benzathine benzylpenicillin is the recommended treatment for syphilis in neonates and pregnant women. In pregnancy, azithromycin does not effectively treat syphilis in the foetus, and resistance develops rapidly to macrolides (e.g. azithromycin).</w:t>
      </w:r>
      <w:r w:rsidR="00AB3ADA" w:rsidRPr="00AB3ADA">
        <w:rPr>
          <w:rFonts w:cstheme="minorHAnsi"/>
          <w:spacing w:val="-4"/>
        </w:rPr>
        <w:t xml:space="preserve"> </w:t>
      </w:r>
    </w:p>
    <w:p w:rsidR="004D054B" w:rsidRPr="00AB3ADA" w:rsidRDefault="00AB3ADA" w:rsidP="009A0AA8">
      <w:pPr>
        <w:widowControl w:val="0"/>
        <w:autoSpaceDE w:val="0"/>
        <w:autoSpaceDN w:val="0"/>
        <w:adjustRightInd w:val="0"/>
        <w:spacing w:after="0" w:line="240" w:lineRule="auto"/>
        <w:jc w:val="both"/>
        <w:rPr>
          <w:rFonts w:cstheme="minorHAnsi"/>
          <w:spacing w:val="-4"/>
        </w:rPr>
      </w:pPr>
      <w:r w:rsidRPr="00AB3ADA">
        <w:rPr>
          <w:rFonts w:cstheme="minorHAnsi"/>
          <w:spacing w:val="-4"/>
        </w:rPr>
        <w:t>In addition, chancroid is not common.</w:t>
      </w:r>
    </w:p>
    <w:p w:rsidR="004D054B" w:rsidRPr="00AB3ADA" w:rsidRDefault="004D054B" w:rsidP="009A0AA8">
      <w:pPr>
        <w:widowControl w:val="0"/>
        <w:autoSpaceDE w:val="0"/>
        <w:autoSpaceDN w:val="0"/>
        <w:adjustRightInd w:val="0"/>
        <w:spacing w:after="0" w:line="240" w:lineRule="auto"/>
        <w:jc w:val="both"/>
        <w:rPr>
          <w:rFonts w:cstheme="minorHAnsi"/>
          <w:b/>
          <w:spacing w:val="-4"/>
        </w:rPr>
      </w:pPr>
      <w:r w:rsidRPr="00AB3ADA">
        <w:rPr>
          <w:rFonts w:cstheme="minorHAnsi"/>
          <w:b/>
          <w:spacing w:val="-4"/>
        </w:rPr>
        <w:lastRenderedPageBreak/>
        <w:t>Level of Evidence: III Guidelines</w:t>
      </w:r>
      <w:r w:rsidRPr="00AB3ADA">
        <w:rPr>
          <w:rStyle w:val="FootnoteReference"/>
          <w:b/>
          <w:spacing w:val="-4"/>
        </w:rPr>
        <w:footnoteReference w:id="7"/>
      </w:r>
    </w:p>
    <w:p w:rsidR="004D054B" w:rsidRPr="00AB3ADA" w:rsidRDefault="004D054B" w:rsidP="009A0AA8">
      <w:pPr>
        <w:widowControl w:val="0"/>
        <w:autoSpaceDE w:val="0"/>
        <w:autoSpaceDN w:val="0"/>
        <w:adjustRightInd w:val="0"/>
        <w:spacing w:after="0" w:line="240" w:lineRule="auto"/>
        <w:jc w:val="both"/>
        <w:rPr>
          <w:rFonts w:cstheme="minorHAnsi"/>
          <w:spacing w:val="-4"/>
        </w:rPr>
      </w:pPr>
    </w:p>
    <w:p w:rsidR="009A0AA8" w:rsidRPr="00AB3ADA" w:rsidRDefault="009A0AA8" w:rsidP="009A0AA8">
      <w:pPr>
        <w:widowControl w:val="0"/>
        <w:autoSpaceDE w:val="0"/>
        <w:autoSpaceDN w:val="0"/>
        <w:adjustRightInd w:val="0"/>
        <w:spacing w:after="0" w:line="240" w:lineRule="auto"/>
        <w:jc w:val="both"/>
        <w:rPr>
          <w:rFonts w:cstheme="minorHAnsi"/>
          <w:b/>
          <w:spacing w:val="-4"/>
        </w:rPr>
      </w:pPr>
      <w:r w:rsidRPr="00AB3ADA">
        <w:rPr>
          <w:rFonts w:cstheme="minorHAnsi"/>
          <w:b/>
          <w:spacing w:val="-4"/>
        </w:rPr>
        <w:t>Aciclovir-resistant ulcers</w:t>
      </w:r>
    </w:p>
    <w:p w:rsidR="009A0AA8" w:rsidRPr="00AB3ADA" w:rsidRDefault="009A0AA8" w:rsidP="009A0AA8">
      <w:pPr>
        <w:widowControl w:val="0"/>
        <w:autoSpaceDE w:val="0"/>
        <w:autoSpaceDN w:val="0"/>
        <w:adjustRightInd w:val="0"/>
        <w:spacing w:after="0" w:line="240" w:lineRule="auto"/>
        <w:jc w:val="both"/>
        <w:rPr>
          <w:rFonts w:cstheme="minorHAnsi"/>
          <w:i/>
          <w:spacing w:val="-4"/>
        </w:rPr>
      </w:pPr>
      <w:r w:rsidRPr="00AB3ADA">
        <w:rPr>
          <w:rFonts w:cstheme="minorHAnsi"/>
          <w:spacing w:val="-4"/>
          <w:u w:val="single"/>
        </w:rPr>
        <w:t>Azithromycin, oral, 1 g:</w:t>
      </w:r>
      <w:r w:rsidR="00AB3ADA">
        <w:rPr>
          <w:rFonts w:cstheme="minorHAnsi"/>
          <w:spacing w:val="-4"/>
          <w:u w:val="single"/>
        </w:rPr>
        <w:t xml:space="preserve"> </w:t>
      </w:r>
      <w:r w:rsidRPr="00AB3ADA">
        <w:rPr>
          <w:rFonts w:cstheme="minorHAnsi"/>
          <w:i/>
          <w:spacing w:val="-4"/>
        </w:rPr>
        <w:t>retained and directions for use amended</w:t>
      </w:r>
    </w:p>
    <w:p w:rsidR="009C6600" w:rsidRPr="00AB3ADA" w:rsidRDefault="009C6600" w:rsidP="009A0AA8">
      <w:pPr>
        <w:widowControl w:val="0"/>
        <w:autoSpaceDE w:val="0"/>
        <w:autoSpaceDN w:val="0"/>
        <w:adjustRightInd w:val="0"/>
        <w:spacing w:after="0" w:line="240" w:lineRule="auto"/>
        <w:jc w:val="both"/>
        <w:rPr>
          <w:rFonts w:cstheme="minorHAnsi"/>
          <w:spacing w:val="-4"/>
        </w:rPr>
      </w:pPr>
    </w:p>
    <w:p w:rsidR="009A0AA8" w:rsidRPr="00AB3ADA" w:rsidRDefault="009A0AA8" w:rsidP="009A0AA8">
      <w:pPr>
        <w:widowControl w:val="0"/>
        <w:autoSpaceDE w:val="0"/>
        <w:autoSpaceDN w:val="0"/>
        <w:adjustRightInd w:val="0"/>
        <w:spacing w:after="0" w:line="240" w:lineRule="auto"/>
        <w:jc w:val="both"/>
        <w:rPr>
          <w:rFonts w:cstheme="minorHAnsi"/>
          <w:spacing w:val="-4"/>
        </w:rPr>
      </w:pPr>
      <w:r w:rsidRPr="00AB3ADA">
        <w:rPr>
          <w:rFonts w:cstheme="minorHAnsi"/>
          <w:spacing w:val="-4"/>
        </w:rPr>
        <w:t xml:space="preserve">Although, </w:t>
      </w:r>
      <w:r w:rsidRPr="00AB3ADA">
        <w:rPr>
          <w:rFonts w:cstheme="minorHAnsi"/>
          <w:i/>
          <w:spacing w:val="-4"/>
        </w:rPr>
        <w:t>Haemophilus</w:t>
      </w:r>
      <w:r w:rsidR="00AB3ADA">
        <w:rPr>
          <w:rFonts w:cstheme="minorHAnsi"/>
          <w:i/>
          <w:spacing w:val="-4"/>
        </w:rPr>
        <w:t xml:space="preserve"> </w:t>
      </w:r>
      <w:r w:rsidRPr="00AB3ADA">
        <w:rPr>
          <w:rFonts w:cstheme="minorHAnsi"/>
          <w:i/>
          <w:spacing w:val="-4"/>
        </w:rPr>
        <w:t>ducreyi</w:t>
      </w:r>
      <w:r w:rsidRPr="00AB3ADA">
        <w:rPr>
          <w:rFonts w:cstheme="minorHAnsi"/>
          <w:spacing w:val="-4"/>
        </w:rPr>
        <w:t>is uncommon</w:t>
      </w:r>
      <w:r w:rsidRPr="00AB3ADA">
        <w:rPr>
          <w:rStyle w:val="FootnoteReference"/>
        </w:rPr>
        <w:footnoteReference w:id="8"/>
      </w:r>
      <w:r w:rsidRPr="00AB3ADA">
        <w:rPr>
          <w:rFonts w:cstheme="minorHAnsi"/>
          <w:spacing w:val="-4"/>
        </w:rPr>
        <w:t xml:space="preserve">, the PHC ERC was of the opinion that presumptive treatment with azithromycin </w:t>
      </w:r>
      <w:r w:rsidR="00C82197" w:rsidRPr="00AB3ADA">
        <w:rPr>
          <w:rFonts w:cstheme="minorHAnsi"/>
          <w:spacing w:val="-4"/>
        </w:rPr>
        <w:t xml:space="preserve">should </w:t>
      </w:r>
      <w:r w:rsidRPr="00AB3ADA">
        <w:rPr>
          <w:rFonts w:cstheme="minorHAnsi"/>
          <w:spacing w:val="-4"/>
        </w:rPr>
        <w:t xml:space="preserve">be provided at PHC level of care, to </w:t>
      </w:r>
      <w:r w:rsidR="00F7748E" w:rsidRPr="00AB3ADA">
        <w:rPr>
          <w:rFonts w:cstheme="minorHAnsi"/>
          <w:spacing w:val="-4"/>
        </w:rPr>
        <w:t>cover the</w:t>
      </w:r>
      <w:r w:rsidRPr="00AB3ADA">
        <w:rPr>
          <w:rFonts w:cstheme="minorHAnsi"/>
          <w:spacing w:val="-4"/>
        </w:rPr>
        <w:t xml:space="preserve"> few cases that may occur. However, for pragmatic reasons, failure of azithromycin treatment requiring referral to secondary level of care for further pathology tests was amended from "</w:t>
      </w:r>
      <w:r w:rsidRPr="00AB3ADA">
        <w:rPr>
          <w:rFonts w:cstheme="minorHAnsi"/>
          <w:i/>
          <w:spacing w:val="-4"/>
        </w:rPr>
        <w:t>48 hours</w:t>
      </w:r>
      <w:r w:rsidRPr="00AB3ADA">
        <w:rPr>
          <w:rFonts w:cstheme="minorHAnsi"/>
          <w:spacing w:val="-4"/>
        </w:rPr>
        <w:t>" to "</w:t>
      </w:r>
      <w:r w:rsidRPr="00AB3ADA">
        <w:rPr>
          <w:rFonts w:cstheme="minorHAnsi"/>
          <w:i/>
          <w:spacing w:val="-4"/>
        </w:rPr>
        <w:t>7 days</w:t>
      </w:r>
      <w:r w:rsidRPr="00AB3ADA">
        <w:rPr>
          <w:rFonts w:cstheme="minorHAnsi"/>
          <w:spacing w:val="-4"/>
        </w:rPr>
        <w:t>".</w:t>
      </w:r>
    </w:p>
    <w:p w:rsidR="009A0AA8" w:rsidRPr="00AB3ADA" w:rsidRDefault="009A0AA8" w:rsidP="009A0AA8">
      <w:pPr>
        <w:widowControl w:val="0"/>
        <w:autoSpaceDE w:val="0"/>
        <w:autoSpaceDN w:val="0"/>
        <w:adjustRightInd w:val="0"/>
        <w:spacing w:after="0" w:line="240" w:lineRule="auto"/>
        <w:jc w:val="both"/>
        <w:rPr>
          <w:rFonts w:cstheme="minorHAnsi"/>
          <w:b/>
          <w:spacing w:val="-4"/>
        </w:rPr>
      </w:pPr>
      <w:r w:rsidRPr="00AB3ADA">
        <w:rPr>
          <w:rFonts w:cstheme="minorHAnsi"/>
          <w:b/>
          <w:spacing w:val="-4"/>
        </w:rPr>
        <w:t xml:space="preserve">Recommendation: </w:t>
      </w:r>
      <w:r w:rsidRPr="00AB3ADA">
        <w:rPr>
          <w:rFonts w:cstheme="minorHAnsi"/>
          <w:spacing w:val="-4"/>
        </w:rPr>
        <w:t xml:space="preserve">Presumptive therapy for </w:t>
      </w:r>
      <w:r w:rsidRPr="00AB3ADA">
        <w:rPr>
          <w:rFonts w:cstheme="minorHAnsi"/>
          <w:i/>
          <w:spacing w:val="-4"/>
        </w:rPr>
        <w:t>Haemophilus</w:t>
      </w:r>
      <w:r w:rsidR="00AB3ADA" w:rsidRPr="00AB3ADA">
        <w:rPr>
          <w:rFonts w:cstheme="minorHAnsi"/>
          <w:i/>
          <w:spacing w:val="-4"/>
        </w:rPr>
        <w:t xml:space="preserve"> </w:t>
      </w:r>
      <w:r w:rsidRPr="00AB3ADA">
        <w:rPr>
          <w:rFonts w:cstheme="minorHAnsi"/>
          <w:i/>
          <w:spacing w:val="-4"/>
        </w:rPr>
        <w:t xml:space="preserve">ducreyii, </w:t>
      </w:r>
      <w:r w:rsidRPr="00AB3ADA">
        <w:rPr>
          <w:rFonts w:cstheme="minorHAnsi"/>
          <w:spacing w:val="-4"/>
        </w:rPr>
        <w:t>as single dose azithromycin be retained at primary level of care. Failure of therapy requiring referral to be assessed after 7 days, as oppose to 48 hours.</w:t>
      </w:r>
    </w:p>
    <w:p w:rsidR="009A0AA8" w:rsidRPr="00AB3ADA" w:rsidRDefault="009A0AA8" w:rsidP="009A0AA8">
      <w:pPr>
        <w:widowControl w:val="0"/>
        <w:autoSpaceDE w:val="0"/>
        <w:autoSpaceDN w:val="0"/>
        <w:adjustRightInd w:val="0"/>
        <w:spacing w:after="0" w:line="240" w:lineRule="auto"/>
        <w:jc w:val="both"/>
        <w:rPr>
          <w:rFonts w:cstheme="minorHAnsi"/>
          <w:spacing w:val="-4"/>
        </w:rPr>
      </w:pPr>
      <w:r w:rsidRPr="00AB3ADA">
        <w:rPr>
          <w:rFonts w:cstheme="minorHAnsi"/>
          <w:i/>
          <w:spacing w:val="-4"/>
        </w:rPr>
        <w:t>Rationale:</w:t>
      </w:r>
      <w:r w:rsidR="00AB3ADA">
        <w:rPr>
          <w:rFonts w:cstheme="minorHAnsi"/>
          <w:i/>
          <w:spacing w:val="-4"/>
        </w:rPr>
        <w:t xml:space="preserve"> </w:t>
      </w:r>
      <w:r w:rsidRPr="00AB3ADA">
        <w:rPr>
          <w:rFonts w:cstheme="minorHAnsi"/>
          <w:i/>
          <w:spacing w:val="-4"/>
        </w:rPr>
        <w:t>Haemophilus</w:t>
      </w:r>
      <w:r w:rsidR="00AB3ADA">
        <w:rPr>
          <w:rFonts w:cstheme="minorHAnsi"/>
          <w:i/>
          <w:spacing w:val="-4"/>
        </w:rPr>
        <w:t xml:space="preserve"> </w:t>
      </w:r>
      <w:r w:rsidRPr="00AB3ADA">
        <w:rPr>
          <w:rFonts w:cstheme="minorHAnsi"/>
          <w:i/>
          <w:spacing w:val="-4"/>
        </w:rPr>
        <w:t>ducreyi</w:t>
      </w:r>
      <w:r w:rsidRPr="00AB3ADA">
        <w:rPr>
          <w:rFonts w:cstheme="minorHAnsi"/>
          <w:spacing w:val="-4"/>
        </w:rPr>
        <w:t>is uncommon, but presumptive therapy may cover the few cases that may present at primary level of care.</w:t>
      </w:r>
    </w:p>
    <w:p w:rsidR="009A0AA8" w:rsidRPr="00AB3ADA" w:rsidRDefault="009A0AA8" w:rsidP="009A0AA8">
      <w:pPr>
        <w:widowControl w:val="0"/>
        <w:autoSpaceDE w:val="0"/>
        <w:autoSpaceDN w:val="0"/>
        <w:adjustRightInd w:val="0"/>
        <w:spacing w:after="0" w:line="240" w:lineRule="auto"/>
        <w:jc w:val="both"/>
        <w:rPr>
          <w:rFonts w:cstheme="minorHAnsi"/>
          <w:b/>
          <w:spacing w:val="-4"/>
        </w:rPr>
      </w:pPr>
      <w:r w:rsidRPr="00AB3ADA">
        <w:rPr>
          <w:rFonts w:cstheme="minorHAnsi"/>
          <w:b/>
          <w:spacing w:val="-4"/>
        </w:rPr>
        <w:t>Level of Evidence: III Surveillance data, Expert opinion</w:t>
      </w:r>
    </w:p>
    <w:p w:rsidR="009A0AA8" w:rsidRPr="00AB3ADA" w:rsidRDefault="009A0AA8" w:rsidP="00C05DE2">
      <w:pPr>
        <w:spacing w:after="0"/>
        <w:rPr>
          <w:b/>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9C6600" w:rsidRPr="00AB3ADA" w:rsidTr="00E24513">
        <w:tc>
          <w:tcPr>
            <w:tcW w:w="9242" w:type="dxa"/>
            <w:tcBorders>
              <w:top w:val="double" w:sz="4" w:space="0" w:color="C0C0C0"/>
              <w:left w:val="double" w:sz="4" w:space="0" w:color="C0C0C0"/>
              <w:bottom w:val="double" w:sz="4" w:space="0" w:color="C0C0C0"/>
              <w:right w:val="double" w:sz="4" w:space="0" w:color="C0C0C0"/>
            </w:tcBorders>
          </w:tcPr>
          <w:p w:rsidR="009C6600" w:rsidRPr="00AB3ADA" w:rsidRDefault="009C6600" w:rsidP="009C6600">
            <w:pPr>
              <w:widowControl w:val="0"/>
              <w:autoSpaceDE w:val="0"/>
              <w:autoSpaceDN w:val="0"/>
              <w:adjustRightInd w:val="0"/>
              <w:spacing w:before="120" w:after="120" w:line="240" w:lineRule="auto"/>
              <w:rPr>
                <w:rFonts w:cstheme="minorHAnsi"/>
                <w:b/>
              </w:rPr>
            </w:pPr>
            <w:r w:rsidRPr="00AB3ADA">
              <w:rPr>
                <w:rFonts w:cstheme="minorHAnsi"/>
                <w:b/>
                <w:bCs/>
              </w:rPr>
              <w:t>12.6 BUBO</w:t>
            </w:r>
          </w:p>
        </w:tc>
      </w:tr>
    </w:tbl>
    <w:p w:rsidR="009A1512" w:rsidRPr="00AB3ADA" w:rsidRDefault="009A1512" w:rsidP="009A1512">
      <w:pPr>
        <w:widowControl w:val="0"/>
        <w:autoSpaceDE w:val="0"/>
        <w:autoSpaceDN w:val="0"/>
        <w:adjustRightInd w:val="0"/>
        <w:spacing w:after="0" w:line="240" w:lineRule="auto"/>
        <w:jc w:val="both"/>
        <w:rPr>
          <w:rFonts w:cstheme="minorHAnsi"/>
          <w:i/>
          <w:spacing w:val="-4"/>
        </w:rPr>
      </w:pPr>
      <w:r w:rsidRPr="00AB3ADA">
        <w:rPr>
          <w:rFonts w:cstheme="minorHAnsi"/>
          <w:spacing w:val="-4"/>
          <w:u w:val="single"/>
        </w:rPr>
        <w:t>Azithromycin, oral</w:t>
      </w:r>
      <w:r w:rsidR="00CD5C50" w:rsidRPr="00AB3ADA">
        <w:rPr>
          <w:rFonts w:cstheme="minorHAnsi"/>
          <w:spacing w:val="-4"/>
          <w:u w:val="single"/>
        </w:rPr>
        <w:t>, 1g</w:t>
      </w:r>
      <w:r w:rsidRPr="00AB3ADA">
        <w:rPr>
          <w:rFonts w:cstheme="minorHAnsi"/>
          <w:spacing w:val="-4"/>
          <w:u w:val="single"/>
        </w:rPr>
        <w:t>:</w:t>
      </w:r>
      <w:r w:rsidRPr="00AB3ADA">
        <w:rPr>
          <w:rFonts w:cstheme="minorHAnsi"/>
          <w:i/>
          <w:spacing w:val="-4"/>
        </w:rPr>
        <w:t xml:space="preserve"> dosing amended</w:t>
      </w:r>
    </w:p>
    <w:p w:rsidR="009A1512" w:rsidRPr="00AB3ADA" w:rsidRDefault="009A1512" w:rsidP="009A1512">
      <w:pPr>
        <w:widowControl w:val="0"/>
        <w:autoSpaceDE w:val="0"/>
        <w:autoSpaceDN w:val="0"/>
        <w:adjustRightInd w:val="0"/>
        <w:spacing w:after="0" w:line="240" w:lineRule="auto"/>
        <w:jc w:val="both"/>
        <w:rPr>
          <w:rFonts w:cstheme="minorHAnsi"/>
          <w:spacing w:val="-4"/>
        </w:rPr>
      </w:pPr>
      <w:r w:rsidRPr="00AB3ADA">
        <w:rPr>
          <w:rFonts w:cstheme="minorHAnsi"/>
          <w:spacing w:val="-4"/>
        </w:rPr>
        <w:t>Azithromycin treatment amended for a period of 3 weeks, rather than 2 weeks as described in a surveillance study</w:t>
      </w:r>
      <w:r w:rsidRPr="00AB3ADA">
        <w:rPr>
          <w:rStyle w:val="FootnoteReference"/>
          <w:spacing w:val="-4"/>
        </w:rPr>
        <w:footnoteReference w:id="9"/>
      </w:r>
      <w:r w:rsidRPr="00AB3ADA">
        <w:rPr>
          <w:rFonts w:cstheme="minorHAnsi"/>
          <w:spacing w:val="-4"/>
        </w:rPr>
        <w:t>.</w:t>
      </w:r>
      <w:r w:rsidR="00D8310C" w:rsidRPr="00AB3ADA">
        <w:rPr>
          <w:rFonts w:cstheme="minorHAnsi"/>
          <w:spacing w:val="-4"/>
        </w:rPr>
        <w:t>Both recommendations are based on level 3 evidence; pharmacokinetic data and guidelines, respectively.</w:t>
      </w:r>
    </w:p>
    <w:p w:rsidR="009A1512" w:rsidRPr="00AB3ADA" w:rsidRDefault="009A1512" w:rsidP="009A1512">
      <w:pPr>
        <w:widowControl w:val="0"/>
        <w:autoSpaceDE w:val="0"/>
        <w:autoSpaceDN w:val="0"/>
        <w:adjustRightInd w:val="0"/>
        <w:spacing w:after="0" w:line="240" w:lineRule="auto"/>
        <w:jc w:val="both"/>
        <w:rPr>
          <w:rFonts w:cstheme="minorHAnsi"/>
          <w:b/>
          <w:spacing w:val="-4"/>
        </w:rPr>
      </w:pPr>
      <w:r w:rsidRPr="00AB3ADA">
        <w:rPr>
          <w:rFonts w:cstheme="minorHAnsi"/>
          <w:b/>
          <w:spacing w:val="-4"/>
        </w:rPr>
        <w:t>Recommendation:</w:t>
      </w:r>
      <w:r w:rsidRPr="00AB3ADA">
        <w:rPr>
          <w:rFonts w:cstheme="minorHAnsi"/>
          <w:spacing w:val="-4"/>
        </w:rPr>
        <w:t>Update weekly azithromycin, 1 g, oral to a period of 3 weeks.</w:t>
      </w:r>
    </w:p>
    <w:p w:rsidR="009A1512" w:rsidRPr="00AB3ADA" w:rsidRDefault="009A1512" w:rsidP="009A1512">
      <w:pPr>
        <w:widowControl w:val="0"/>
        <w:tabs>
          <w:tab w:val="left" w:pos="6061"/>
        </w:tabs>
        <w:autoSpaceDE w:val="0"/>
        <w:autoSpaceDN w:val="0"/>
        <w:adjustRightInd w:val="0"/>
        <w:spacing w:after="0" w:line="240" w:lineRule="auto"/>
        <w:jc w:val="both"/>
        <w:rPr>
          <w:rFonts w:cstheme="minorHAnsi"/>
          <w:spacing w:val="-4"/>
        </w:rPr>
      </w:pPr>
      <w:r w:rsidRPr="00AB3ADA">
        <w:rPr>
          <w:rFonts w:cstheme="minorHAnsi"/>
          <w:i/>
          <w:spacing w:val="-4"/>
        </w:rPr>
        <w:t>Rationale:</w:t>
      </w:r>
      <w:r w:rsidRPr="00AB3ADA">
        <w:rPr>
          <w:rFonts w:cstheme="minorHAnsi"/>
          <w:spacing w:val="-4"/>
        </w:rPr>
        <w:t xml:space="preserve"> Aligned with InfectiousDiseases Society of America Guidelines: </w:t>
      </w:r>
      <w:r w:rsidRPr="00AB3ADA">
        <w:rPr>
          <w:rFonts w:cstheme="minorHAnsi"/>
          <w:i/>
          <w:spacing w:val="-4"/>
        </w:rPr>
        <w:t>Lymphogranuloma venereum</w:t>
      </w:r>
      <w:r w:rsidRPr="00AB3ADA">
        <w:rPr>
          <w:rFonts w:cstheme="minorHAnsi"/>
          <w:spacing w:val="-4"/>
        </w:rPr>
        <w:t xml:space="preserve"> 2015: Clinical</w:t>
      </w:r>
      <w:r w:rsidR="00AB3ADA" w:rsidRPr="00AB3ADA">
        <w:rPr>
          <w:rFonts w:cstheme="minorHAnsi"/>
          <w:spacing w:val="-4"/>
        </w:rPr>
        <w:t xml:space="preserve"> </w:t>
      </w:r>
      <w:r w:rsidRPr="00AB3ADA">
        <w:rPr>
          <w:rFonts w:cstheme="minorHAnsi"/>
          <w:spacing w:val="-4"/>
        </w:rPr>
        <w:t>Presentation, Diagnosis, and Treatment.</w:t>
      </w:r>
      <w:r w:rsidRPr="00AB3ADA">
        <w:rPr>
          <w:rStyle w:val="FootnoteReference"/>
          <w:spacing w:val="-4"/>
        </w:rPr>
        <w:footnoteReference w:id="10"/>
      </w:r>
    </w:p>
    <w:p w:rsidR="009A1512" w:rsidRPr="00AB3ADA" w:rsidRDefault="009A1512" w:rsidP="009A1512">
      <w:pPr>
        <w:widowControl w:val="0"/>
        <w:tabs>
          <w:tab w:val="left" w:pos="6061"/>
        </w:tabs>
        <w:autoSpaceDE w:val="0"/>
        <w:autoSpaceDN w:val="0"/>
        <w:adjustRightInd w:val="0"/>
        <w:spacing w:after="0" w:line="240" w:lineRule="auto"/>
        <w:jc w:val="both"/>
        <w:rPr>
          <w:rFonts w:cstheme="minorHAnsi"/>
          <w:b/>
          <w:spacing w:val="-4"/>
        </w:rPr>
      </w:pPr>
      <w:r w:rsidRPr="00AB3ADA">
        <w:rPr>
          <w:rFonts w:cstheme="minorHAnsi"/>
          <w:b/>
          <w:spacing w:val="-4"/>
        </w:rPr>
        <w:t>Level of Evidence: III Surveillance study, Guidelines</w:t>
      </w:r>
    </w:p>
    <w:p w:rsidR="009A1512" w:rsidRPr="00AB3ADA" w:rsidRDefault="009A1512" w:rsidP="00C05DE2">
      <w:pPr>
        <w:spacing w:after="0"/>
        <w:rPr>
          <w:b/>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ED1999" w:rsidRPr="00AB3ADA" w:rsidTr="00E24513">
        <w:tc>
          <w:tcPr>
            <w:tcW w:w="9242" w:type="dxa"/>
            <w:tcBorders>
              <w:top w:val="double" w:sz="4" w:space="0" w:color="C0C0C0"/>
              <w:left w:val="double" w:sz="4" w:space="0" w:color="C0C0C0"/>
              <w:bottom w:val="double" w:sz="4" w:space="0" w:color="C0C0C0"/>
              <w:right w:val="double" w:sz="4" w:space="0" w:color="C0C0C0"/>
            </w:tcBorders>
          </w:tcPr>
          <w:p w:rsidR="00ED1999" w:rsidRPr="00AB3ADA" w:rsidRDefault="00126868" w:rsidP="00E24513">
            <w:pPr>
              <w:widowControl w:val="0"/>
              <w:autoSpaceDE w:val="0"/>
              <w:autoSpaceDN w:val="0"/>
              <w:adjustRightInd w:val="0"/>
              <w:spacing w:before="120" w:after="120" w:line="240" w:lineRule="auto"/>
              <w:rPr>
                <w:rFonts w:cstheme="minorHAnsi"/>
                <w:b/>
                <w:bCs/>
              </w:rPr>
            </w:pPr>
            <w:r w:rsidRPr="00AB3ADA">
              <w:rPr>
                <w:rFonts w:cstheme="minorHAnsi"/>
                <w:b/>
                <w:bCs/>
              </w:rPr>
              <w:t>12.7 BALANITIS/BALANOPOSTHITIS (BAL)</w:t>
            </w:r>
          </w:p>
        </w:tc>
      </w:tr>
    </w:tbl>
    <w:p w:rsidR="00CD5C50" w:rsidRPr="00AB3ADA" w:rsidRDefault="00CD5C50" w:rsidP="009A1512">
      <w:pPr>
        <w:widowControl w:val="0"/>
        <w:autoSpaceDE w:val="0"/>
        <w:autoSpaceDN w:val="0"/>
        <w:adjustRightInd w:val="0"/>
        <w:spacing w:after="0" w:line="240" w:lineRule="auto"/>
        <w:jc w:val="both"/>
        <w:rPr>
          <w:rFonts w:cstheme="minorHAnsi"/>
          <w:i/>
          <w:spacing w:val="-4"/>
        </w:rPr>
      </w:pPr>
      <w:r w:rsidRPr="00AB3ADA">
        <w:rPr>
          <w:rFonts w:cstheme="minorHAnsi"/>
          <w:spacing w:val="-4"/>
          <w:u w:val="single"/>
        </w:rPr>
        <w:t>Benzathine benzylpenicillin, IM, 2.4MU:</w:t>
      </w:r>
      <w:r w:rsidRPr="00AB3ADA">
        <w:rPr>
          <w:rFonts w:cstheme="minorHAnsi"/>
          <w:i/>
          <w:spacing w:val="-4"/>
        </w:rPr>
        <w:t>deleted</w:t>
      </w:r>
    </w:p>
    <w:p w:rsidR="00CD5C50" w:rsidRPr="00AB3ADA" w:rsidRDefault="00CD5C50" w:rsidP="00CD5C50">
      <w:pPr>
        <w:widowControl w:val="0"/>
        <w:autoSpaceDE w:val="0"/>
        <w:autoSpaceDN w:val="0"/>
        <w:adjustRightInd w:val="0"/>
        <w:spacing w:after="0" w:line="240" w:lineRule="auto"/>
        <w:jc w:val="both"/>
        <w:rPr>
          <w:rFonts w:cstheme="minorHAnsi"/>
          <w:spacing w:val="-4"/>
        </w:rPr>
      </w:pPr>
      <w:r w:rsidRPr="00AB3ADA">
        <w:rPr>
          <w:rFonts w:cstheme="minorHAnsi"/>
          <w:i/>
          <w:spacing w:val="-4"/>
        </w:rPr>
        <w:t xml:space="preserve">Syphilitic balanitis </w:t>
      </w:r>
      <w:r w:rsidR="009C6600" w:rsidRPr="00AB3ADA">
        <w:rPr>
          <w:rFonts w:cstheme="minorHAnsi"/>
          <w:spacing w:val="-4"/>
        </w:rPr>
        <w:t>is</w:t>
      </w:r>
      <w:r w:rsidRPr="00AB3ADA">
        <w:rPr>
          <w:rFonts w:cstheme="minorHAnsi"/>
          <w:spacing w:val="-4"/>
        </w:rPr>
        <w:t xml:space="preserve"> very rare</w:t>
      </w:r>
      <w:r w:rsidRPr="00AB3ADA">
        <w:rPr>
          <w:rStyle w:val="FootnoteReference"/>
          <w:spacing w:val="-4"/>
        </w:rPr>
        <w:footnoteReference w:id="11"/>
      </w:r>
      <w:r w:rsidR="009172F1" w:rsidRPr="00AB3ADA">
        <w:rPr>
          <w:rStyle w:val="FootnoteReference"/>
          <w:spacing w:val="-4"/>
        </w:rPr>
        <w:footnoteReference w:id="12"/>
      </w:r>
      <w:r w:rsidR="009172F1" w:rsidRPr="00AB3ADA">
        <w:rPr>
          <w:rStyle w:val="FootnoteReference"/>
          <w:spacing w:val="-4"/>
        </w:rPr>
        <w:footnoteReference w:id="13"/>
      </w:r>
      <w:r w:rsidRPr="00AB3ADA">
        <w:rPr>
          <w:rFonts w:cstheme="minorHAnsi"/>
          <w:spacing w:val="-4"/>
        </w:rPr>
        <w:t xml:space="preserve"> and management with benzathine benzylpenicillin was removed from the BAL algorithm.</w:t>
      </w:r>
    </w:p>
    <w:p w:rsidR="00CD5C50" w:rsidRPr="00AB3ADA" w:rsidRDefault="00CD5C50" w:rsidP="00CD5C50">
      <w:pPr>
        <w:widowControl w:val="0"/>
        <w:tabs>
          <w:tab w:val="left" w:pos="3366"/>
        </w:tabs>
        <w:autoSpaceDE w:val="0"/>
        <w:autoSpaceDN w:val="0"/>
        <w:adjustRightInd w:val="0"/>
        <w:spacing w:after="0" w:line="240" w:lineRule="auto"/>
        <w:jc w:val="both"/>
        <w:rPr>
          <w:rFonts w:cstheme="minorHAnsi"/>
          <w:b/>
          <w:spacing w:val="-4"/>
        </w:rPr>
      </w:pPr>
      <w:r w:rsidRPr="00AB3ADA">
        <w:rPr>
          <w:rFonts w:cstheme="minorHAnsi"/>
          <w:b/>
          <w:spacing w:val="-4"/>
        </w:rPr>
        <w:t>Recommendation:</w:t>
      </w:r>
      <w:r w:rsidR="00AB3ADA" w:rsidRPr="00AB3ADA">
        <w:rPr>
          <w:rFonts w:cstheme="minorHAnsi"/>
          <w:b/>
          <w:spacing w:val="-4"/>
        </w:rPr>
        <w:t xml:space="preserve"> </w:t>
      </w:r>
      <w:r w:rsidRPr="00AB3ADA">
        <w:rPr>
          <w:rFonts w:cstheme="minorHAnsi"/>
          <w:spacing w:val="-4"/>
        </w:rPr>
        <w:t>Benzathine benzylpenicillin removed from the BAL algorithm.</w:t>
      </w:r>
    </w:p>
    <w:p w:rsidR="00CD5C50" w:rsidRPr="00AB3ADA" w:rsidRDefault="00CD5C50" w:rsidP="00CD5C50">
      <w:pPr>
        <w:widowControl w:val="0"/>
        <w:autoSpaceDE w:val="0"/>
        <w:autoSpaceDN w:val="0"/>
        <w:adjustRightInd w:val="0"/>
        <w:spacing w:after="0" w:line="240" w:lineRule="auto"/>
        <w:jc w:val="both"/>
        <w:rPr>
          <w:rFonts w:cstheme="minorHAnsi"/>
          <w:spacing w:val="-4"/>
        </w:rPr>
      </w:pPr>
      <w:r w:rsidRPr="00AB3ADA">
        <w:rPr>
          <w:rFonts w:cstheme="minorHAnsi"/>
          <w:i/>
          <w:spacing w:val="-4"/>
        </w:rPr>
        <w:t>Rationale:</w:t>
      </w:r>
      <w:r w:rsidR="00AB3ADA" w:rsidRPr="00AB3ADA">
        <w:rPr>
          <w:rFonts w:cstheme="minorHAnsi"/>
          <w:i/>
          <w:spacing w:val="-4"/>
        </w:rPr>
        <w:t xml:space="preserve"> </w:t>
      </w:r>
      <w:r w:rsidRPr="00AB3ADA">
        <w:rPr>
          <w:rFonts w:cstheme="minorHAnsi"/>
          <w:spacing w:val="-4"/>
        </w:rPr>
        <w:t xml:space="preserve">Syphilitic balanitis reported to be </w:t>
      </w:r>
      <w:r w:rsidR="00714392" w:rsidRPr="00AB3ADA">
        <w:rPr>
          <w:rFonts w:cstheme="minorHAnsi"/>
          <w:spacing w:val="-4"/>
        </w:rPr>
        <w:t>rare</w:t>
      </w:r>
      <w:r w:rsidRPr="00AB3ADA">
        <w:rPr>
          <w:rFonts w:cstheme="minorHAnsi"/>
          <w:spacing w:val="-4"/>
        </w:rPr>
        <w:t>.</w:t>
      </w:r>
    </w:p>
    <w:p w:rsidR="00CD5C50" w:rsidRPr="00AB3ADA" w:rsidRDefault="00CD5C50" w:rsidP="00CD5C50">
      <w:pPr>
        <w:widowControl w:val="0"/>
        <w:autoSpaceDE w:val="0"/>
        <w:autoSpaceDN w:val="0"/>
        <w:adjustRightInd w:val="0"/>
        <w:spacing w:after="0" w:line="240" w:lineRule="auto"/>
        <w:jc w:val="both"/>
        <w:rPr>
          <w:rFonts w:cstheme="minorHAnsi"/>
          <w:b/>
          <w:spacing w:val="-4"/>
        </w:rPr>
      </w:pPr>
      <w:r w:rsidRPr="00AB3ADA">
        <w:rPr>
          <w:rFonts w:cstheme="minorHAnsi"/>
          <w:b/>
          <w:spacing w:val="-4"/>
        </w:rPr>
        <w:t>Level of Evidence: III Guidelines</w:t>
      </w:r>
      <w:r w:rsidRPr="00AB3ADA">
        <w:rPr>
          <w:rStyle w:val="FootnoteReference"/>
          <w:b/>
          <w:spacing w:val="-4"/>
        </w:rPr>
        <w:footnoteReference w:id="14"/>
      </w:r>
    </w:p>
    <w:p w:rsidR="009A1512" w:rsidRPr="00AB3ADA" w:rsidRDefault="009A1512" w:rsidP="00C05DE2">
      <w:pPr>
        <w:spacing w:after="0"/>
        <w:rPr>
          <w:b/>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ED1999" w:rsidRPr="00AB3ADA" w:rsidTr="00E24513">
        <w:tc>
          <w:tcPr>
            <w:tcW w:w="9242" w:type="dxa"/>
            <w:tcBorders>
              <w:top w:val="double" w:sz="4" w:space="0" w:color="C0C0C0"/>
              <w:left w:val="double" w:sz="4" w:space="0" w:color="C0C0C0"/>
              <w:bottom w:val="double" w:sz="4" w:space="0" w:color="C0C0C0"/>
              <w:right w:val="double" w:sz="4" w:space="0" w:color="C0C0C0"/>
            </w:tcBorders>
          </w:tcPr>
          <w:p w:rsidR="00ED1999" w:rsidRPr="00AB3ADA" w:rsidRDefault="00ED1999" w:rsidP="00E24513">
            <w:pPr>
              <w:widowControl w:val="0"/>
              <w:autoSpaceDE w:val="0"/>
              <w:autoSpaceDN w:val="0"/>
              <w:adjustRightInd w:val="0"/>
              <w:spacing w:before="120" w:after="120" w:line="240" w:lineRule="auto"/>
              <w:rPr>
                <w:rFonts w:cstheme="minorHAnsi"/>
                <w:b/>
              </w:rPr>
            </w:pPr>
            <w:r w:rsidRPr="00AB3ADA">
              <w:rPr>
                <w:rFonts w:cstheme="minorHAnsi"/>
                <w:b/>
                <w:bCs/>
              </w:rPr>
              <w:t>12.12 PUBIC LICE (PL)</w:t>
            </w:r>
          </w:p>
        </w:tc>
      </w:tr>
    </w:tbl>
    <w:p w:rsidR="00D8310C" w:rsidRPr="00AB3ADA" w:rsidRDefault="00D8310C" w:rsidP="00D8310C">
      <w:pPr>
        <w:widowControl w:val="0"/>
        <w:autoSpaceDE w:val="0"/>
        <w:autoSpaceDN w:val="0"/>
        <w:adjustRightInd w:val="0"/>
        <w:spacing w:after="0" w:line="240" w:lineRule="auto"/>
        <w:jc w:val="both"/>
        <w:rPr>
          <w:rFonts w:cstheme="minorHAnsi"/>
          <w:b/>
          <w:spacing w:val="-4"/>
        </w:rPr>
      </w:pPr>
      <w:r w:rsidRPr="00AB3ADA">
        <w:rPr>
          <w:rFonts w:cstheme="minorHAnsi"/>
          <w:b/>
          <w:spacing w:val="-4"/>
        </w:rPr>
        <w:lastRenderedPageBreak/>
        <w:t>Pediculosis of the eyelashes or eyebrows</w:t>
      </w:r>
    </w:p>
    <w:p w:rsidR="00D8310C" w:rsidRPr="00AB3ADA" w:rsidRDefault="00D8310C" w:rsidP="00D8310C">
      <w:pPr>
        <w:widowControl w:val="0"/>
        <w:autoSpaceDE w:val="0"/>
        <w:autoSpaceDN w:val="0"/>
        <w:adjustRightInd w:val="0"/>
        <w:spacing w:after="0" w:line="240" w:lineRule="auto"/>
        <w:jc w:val="both"/>
        <w:rPr>
          <w:rFonts w:cstheme="minorHAnsi"/>
          <w:spacing w:val="-4"/>
        </w:rPr>
      </w:pPr>
      <w:r w:rsidRPr="00AB3ADA">
        <w:rPr>
          <w:rFonts w:cstheme="minorHAnsi"/>
          <w:spacing w:val="-4"/>
          <w:u w:val="single"/>
        </w:rPr>
        <w:t>Yellow petroleum jelly</w:t>
      </w:r>
      <w:r w:rsidRPr="00AB3ADA">
        <w:rPr>
          <w:rFonts w:cstheme="minorHAnsi"/>
          <w:spacing w:val="-4"/>
        </w:rPr>
        <w:t xml:space="preserve">: </w:t>
      </w:r>
      <w:r w:rsidRPr="00AB3ADA">
        <w:rPr>
          <w:rFonts w:cstheme="minorHAnsi"/>
          <w:i/>
          <w:spacing w:val="-4"/>
        </w:rPr>
        <w:t>added</w:t>
      </w:r>
    </w:p>
    <w:p w:rsidR="00D8310C" w:rsidRPr="00AB3ADA" w:rsidRDefault="00D8310C" w:rsidP="00D8310C">
      <w:pPr>
        <w:widowControl w:val="0"/>
        <w:autoSpaceDE w:val="0"/>
        <w:autoSpaceDN w:val="0"/>
        <w:adjustRightInd w:val="0"/>
        <w:spacing w:after="0" w:line="240" w:lineRule="auto"/>
        <w:jc w:val="both"/>
        <w:rPr>
          <w:rFonts w:cstheme="minorHAnsi"/>
          <w:i/>
          <w:spacing w:val="-4"/>
        </w:rPr>
      </w:pPr>
      <w:r w:rsidRPr="00AB3ADA">
        <w:rPr>
          <w:rFonts w:cstheme="minorHAnsi"/>
          <w:spacing w:val="-4"/>
          <w:u w:val="single"/>
        </w:rPr>
        <w:t>White petroleum jelly:</w:t>
      </w:r>
      <w:r w:rsidRPr="00AB3ADA">
        <w:rPr>
          <w:rFonts w:cstheme="minorHAnsi"/>
          <w:i/>
          <w:spacing w:val="-4"/>
        </w:rPr>
        <w:t>not added</w:t>
      </w:r>
    </w:p>
    <w:p w:rsidR="00D8310C" w:rsidRPr="00AB3ADA" w:rsidRDefault="00D8310C" w:rsidP="00D8310C">
      <w:pPr>
        <w:widowControl w:val="0"/>
        <w:autoSpaceDE w:val="0"/>
        <w:autoSpaceDN w:val="0"/>
        <w:adjustRightInd w:val="0"/>
        <w:spacing w:after="0" w:line="240" w:lineRule="auto"/>
        <w:jc w:val="both"/>
        <w:rPr>
          <w:rFonts w:cstheme="minorHAnsi"/>
          <w:spacing w:val="-4"/>
        </w:rPr>
      </w:pPr>
      <w:r w:rsidRPr="00AB3ADA">
        <w:rPr>
          <w:rFonts w:cstheme="minorHAnsi"/>
          <w:spacing w:val="-4"/>
        </w:rPr>
        <w:t>White petroleum jelly should not be used near the eyes.</w:t>
      </w:r>
    </w:p>
    <w:p w:rsidR="00D8310C" w:rsidRPr="00AB3ADA" w:rsidRDefault="00D8310C" w:rsidP="00D8310C">
      <w:pPr>
        <w:widowControl w:val="0"/>
        <w:autoSpaceDE w:val="0"/>
        <w:autoSpaceDN w:val="0"/>
        <w:adjustRightInd w:val="0"/>
        <w:spacing w:after="0" w:line="240" w:lineRule="auto"/>
        <w:jc w:val="both"/>
        <w:rPr>
          <w:rFonts w:cstheme="minorHAnsi"/>
          <w:b/>
          <w:spacing w:val="-4"/>
        </w:rPr>
      </w:pPr>
      <w:r w:rsidRPr="00AB3ADA">
        <w:rPr>
          <w:rFonts w:cstheme="minorHAnsi"/>
          <w:b/>
          <w:spacing w:val="-4"/>
        </w:rPr>
        <w:t>Level of Evidence: III Expert opinion</w:t>
      </w:r>
    </w:p>
    <w:p w:rsidR="00D8310C" w:rsidRPr="00AB3ADA" w:rsidRDefault="00D8310C" w:rsidP="00C05DE2">
      <w:pPr>
        <w:spacing w:after="0"/>
        <w:rPr>
          <w:b/>
        </w:rPr>
      </w:pPr>
    </w:p>
    <w:tbl>
      <w:tblPr>
        <w:tblW w:w="0" w:type="auto"/>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tblPr>
      <w:tblGrid>
        <w:gridCol w:w="9242"/>
      </w:tblGrid>
      <w:tr w:rsidR="00ED1999" w:rsidRPr="00AB3ADA" w:rsidTr="00E24513">
        <w:tc>
          <w:tcPr>
            <w:tcW w:w="9242" w:type="dxa"/>
            <w:tcBorders>
              <w:top w:val="double" w:sz="4" w:space="0" w:color="C0C0C0"/>
              <w:left w:val="double" w:sz="4" w:space="0" w:color="C0C0C0"/>
              <w:bottom w:val="double" w:sz="4" w:space="0" w:color="C0C0C0"/>
              <w:right w:val="double" w:sz="4" w:space="0" w:color="C0C0C0"/>
            </w:tcBorders>
          </w:tcPr>
          <w:p w:rsidR="00ED1999" w:rsidRPr="00AB3ADA" w:rsidRDefault="00ED1999" w:rsidP="00E24513">
            <w:pPr>
              <w:widowControl w:val="0"/>
              <w:autoSpaceDE w:val="0"/>
              <w:autoSpaceDN w:val="0"/>
              <w:adjustRightInd w:val="0"/>
              <w:spacing w:before="120" w:after="120" w:line="240" w:lineRule="auto"/>
              <w:rPr>
                <w:rFonts w:cstheme="minorHAnsi"/>
                <w:b/>
                <w:bCs/>
              </w:rPr>
            </w:pPr>
            <w:r w:rsidRPr="00AB3ADA">
              <w:rPr>
                <w:rFonts w:cstheme="minorHAnsi"/>
                <w:b/>
                <w:bCs/>
              </w:rPr>
              <w:t>12.8 SYPHILIS SEROLOGY AND TREATMENT</w:t>
            </w:r>
          </w:p>
        </w:tc>
      </w:tr>
    </w:tbl>
    <w:p w:rsidR="00F7748E" w:rsidRPr="00AB3ADA" w:rsidRDefault="00F7748E" w:rsidP="00F07A70">
      <w:pPr>
        <w:widowControl w:val="0"/>
        <w:autoSpaceDE w:val="0"/>
        <w:autoSpaceDN w:val="0"/>
        <w:adjustRightInd w:val="0"/>
        <w:spacing w:after="0" w:line="240" w:lineRule="auto"/>
        <w:jc w:val="both"/>
        <w:rPr>
          <w:rFonts w:cstheme="minorHAnsi"/>
          <w:b/>
          <w:spacing w:val="-4"/>
        </w:rPr>
      </w:pPr>
      <w:r w:rsidRPr="00AB3ADA">
        <w:rPr>
          <w:rFonts w:cstheme="minorHAnsi"/>
          <w:b/>
          <w:spacing w:val="-4"/>
        </w:rPr>
        <w:t>Early syphilis treatment</w:t>
      </w:r>
    </w:p>
    <w:p w:rsidR="00F7748E" w:rsidRPr="00AB3ADA" w:rsidRDefault="00F7748E" w:rsidP="00F7748E">
      <w:pPr>
        <w:widowControl w:val="0"/>
        <w:autoSpaceDE w:val="0"/>
        <w:autoSpaceDN w:val="0"/>
        <w:adjustRightInd w:val="0"/>
        <w:spacing w:after="0" w:line="240" w:lineRule="auto"/>
        <w:jc w:val="both"/>
        <w:rPr>
          <w:rFonts w:cstheme="minorHAnsi"/>
          <w:i/>
          <w:spacing w:val="-4"/>
        </w:rPr>
      </w:pPr>
      <w:r w:rsidRPr="00AB3ADA">
        <w:rPr>
          <w:rFonts w:cstheme="minorHAnsi"/>
          <w:spacing w:val="-4"/>
          <w:u w:val="single"/>
        </w:rPr>
        <w:t>Doxycycline, oral:</w:t>
      </w:r>
      <w:r w:rsidRPr="00AB3ADA">
        <w:rPr>
          <w:rFonts w:cstheme="minorHAnsi"/>
          <w:i/>
          <w:spacing w:val="-4"/>
        </w:rPr>
        <w:t>amended to include indication "if benzathine benzylpenicillin is unavailable"</w:t>
      </w:r>
    </w:p>
    <w:p w:rsidR="00F7748E" w:rsidRPr="00AB3ADA" w:rsidRDefault="00067E2E" w:rsidP="00F07A70">
      <w:pPr>
        <w:widowControl w:val="0"/>
        <w:autoSpaceDE w:val="0"/>
        <w:autoSpaceDN w:val="0"/>
        <w:adjustRightInd w:val="0"/>
        <w:spacing w:after="0" w:line="240" w:lineRule="auto"/>
        <w:jc w:val="both"/>
        <w:rPr>
          <w:rFonts w:cstheme="minorHAnsi"/>
          <w:lang w:eastAsia="en-ZA"/>
        </w:rPr>
      </w:pPr>
      <w:r w:rsidRPr="00AB3ADA">
        <w:rPr>
          <w:rFonts w:cstheme="minorHAnsi"/>
          <w:i/>
          <w:spacing w:val="-4"/>
        </w:rPr>
        <w:t xml:space="preserve">Rationale: </w:t>
      </w:r>
      <w:r w:rsidRPr="00AB3ADA">
        <w:rPr>
          <w:rFonts w:cstheme="minorHAnsi"/>
          <w:spacing w:val="-4"/>
        </w:rPr>
        <w:t xml:space="preserve">There is a continuous supply challenge with benzathine benzylpenicillin. Thus, use of this agent requires to be restricted further; as currently only this agent is available for use in syphilis in pregnancy.  WHO </w:t>
      </w:r>
      <w:r w:rsidRPr="00AB3ADA">
        <w:rPr>
          <w:rFonts w:cstheme="minorHAnsi"/>
          <w:lang w:eastAsia="en-ZA"/>
        </w:rPr>
        <w:t xml:space="preserve">guidelines for the treatment of </w:t>
      </w:r>
      <w:r w:rsidRPr="00AB3ADA">
        <w:rPr>
          <w:rFonts w:cstheme="minorHAnsi"/>
          <w:i/>
          <w:lang w:eastAsia="en-ZA"/>
        </w:rPr>
        <w:t>Treponema pallidum</w:t>
      </w:r>
      <w:r w:rsidRPr="00AB3ADA">
        <w:rPr>
          <w:rFonts w:cstheme="minorHAnsi"/>
          <w:lang w:eastAsia="en-ZA"/>
        </w:rPr>
        <w:t xml:space="preserve"> (syphilis), 2016 recommends doxycycline as an alternative option.</w:t>
      </w:r>
    </w:p>
    <w:p w:rsidR="00067E2E" w:rsidRPr="00AB3ADA" w:rsidRDefault="00067E2E" w:rsidP="00067E2E">
      <w:pPr>
        <w:widowControl w:val="0"/>
        <w:autoSpaceDE w:val="0"/>
        <w:autoSpaceDN w:val="0"/>
        <w:adjustRightInd w:val="0"/>
        <w:spacing w:after="0" w:line="240" w:lineRule="auto"/>
        <w:jc w:val="both"/>
        <w:rPr>
          <w:rFonts w:cstheme="minorHAnsi"/>
          <w:b/>
          <w:spacing w:val="-4"/>
        </w:rPr>
      </w:pPr>
      <w:r w:rsidRPr="00AB3ADA">
        <w:rPr>
          <w:rFonts w:cstheme="minorHAnsi"/>
          <w:b/>
          <w:lang w:eastAsia="en-ZA"/>
        </w:rPr>
        <w:t>Level of Evidence: III Guidelines</w:t>
      </w:r>
      <w:r w:rsidRPr="00AB3ADA">
        <w:rPr>
          <w:rStyle w:val="FootnoteReference"/>
          <w:b/>
          <w:lang w:eastAsia="en-ZA"/>
        </w:rPr>
        <w:footnoteReference w:id="15"/>
      </w:r>
    </w:p>
    <w:p w:rsidR="00067E2E" w:rsidRPr="00AB3ADA" w:rsidRDefault="00067E2E" w:rsidP="00F07A70">
      <w:pPr>
        <w:widowControl w:val="0"/>
        <w:autoSpaceDE w:val="0"/>
        <w:autoSpaceDN w:val="0"/>
        <w:adjustRightInd w:val="0"/>
        <w:spacing w:after="0" w:line="240" w:lineRule="auto"/>
        <w:jc w:val="both"/>
        <w:rPr>
          <w:rFonts w:cstheme="minorHAnsi"/>
          <w:i/>
          <w:spacing w:val="-4"/>
        </w:rPr>
      </w:pPr>
    </w:p>
    <w:p w:rsidR="00067E2E" w:rsidRPr="00AB3ADA" w:rsidRDefault="00067E2E" w:rsidP="00F07A70">
      <w:pPr>
        <w:widowControl w:val="0"/>
        <w:autoSpaceDE w:val="0"/>
        <w:autoSpaceDN w:val="0"/>
        <w:adjustRightInd w:val="0"/>
        <w:spacing w:after="0" w:line="240" w:lineRule="auto"/>
        <w:jc w:val="both"/>
        <w:rPr>
          <w:rFonts w:cstheme="minorHAnsi"/>
          <w:spacing w:val="-4"/>
        </w:rPr>
      </w:pPr>
      <w:r w:rsidRPr="00AB3ADA">
        <w:rPr>
          <w:rFonts w:cstheme="minorHAnsi"/>
          <w:b/>
          <w:spacing w:val="-4"/>
        </w:rPr>
        <w:t>Note:</w:t>
      </w:r>
      <w:r w:rsidRPr="00AB3ADA">
        <w:rPr>
          <w:rFonts w:cstheme="minorHAnsi"/>
          <w:spacing w:val="-4"/>
        </w:rPr>
        <w:t xml:space="preserve"> NEMLC Committee member has recently forwarded an article for consideration of amoxicillin+probenecid for syphilis; the PHC Committee will review the evidence, accordingly.</w:t>
      </w:r>
    </w:p>
    <w:p w:rsidR="00067E2E" w:rsidRPr="00AB3ADA" w:rsidRDefault="00067E2E" w:rsidP="00F07A70">
      <w:pPr>
        <w:widowControl w:val="0"/>
        <w:autoSpaceDE w:val="0"/>
        <w:autoSpaceDN w:val="0"/>
        <w:adjustRightInd w:val="0"/>
        <w:spacing w:after="0" w:line="240" w:lineRule="auto"/>
        <w:jc w:val="both"/>
        <w:rPr>
          <w:rFonts w:cstheme="minorHAnsi"/>
          <w:spacing w:val="-4"/>
        </w:rPr>
      </w:pPr>
    </w:p>
    <w:p w:rsidR="00F07A70" w:rsidRPr="00AB3ADA" w:rsidRDefault="00F07A70" w:rsidP="00F07A70">
      <w:pPr>
        <w:widowControl w:val="0"/>
        <w:autoSpaceDE w:val="0"/>
        <w:autoSpaceDN w:val="0"/>
        <w:adjustRightInd w:val="0"/>
        <w:spacing w:after="0" w:line="240" w:lineRule="auto"/>
        <w:jc w:val="both"/>
        <w:rPr>
          <w:rFonts w:cstheme="minorHAnsi"/>
          <w:b/>
          <w:spacing w:val="-4"/>
        </w:rPr>
      </w:pPr>
      <w:r w:rsidRPr="00AB3ADA">
        <w:rPr>
          <w:rFonts w:cstheme="minorHAnsi"/>
          <w:b/>
          <w:spacing w:val="-4"/>
        </w:rPr>
        <w:t>Late latent syphilis treatment</w:t>
      </w:r>
    </w:p>
    <w:p w:rsidR="00F07A70" w:rsidRPr="00AB3ADA" w:rsidRDefault="00F07A70" w:rsidP="00F07A70">
      <w:pPr>
        <w:widowControl w:val="0"/>
        <w:autoSpaceDE w:val="0"/>
        <w:autoSpaceDN w:val="0"/>
        <w:adjustRightInd w:val="0"/>
        <w:spacing w:after="0" w:line="240" w:lineRule="auto"/>
        <w:jc w:val="both"/>
        <w:rPr>
          <w:rFonts w:cstheme="minorHAnsi"/>
          <w:b/>
          <w:spacing w:val="-4"/>
        </w:rPr>
      </w:pPr>
      <w:r w:rsidRPr="00AB3ADA">
        <w:rPr>
          <w:rFonts w:cstheme="minorHAnsi"/>
          <w:b/>
          <w:spacing w:val="-4"/>
        </w:rPr>
        <w:t>Severe penicillin allergy</w:t>
      </w:r>
      <w:r w:rsidR="00F7748E" w:rsidRPr="00AB3ADA">
        <w:rPr>
          <w:rFonts w:cstheme="minorHAnsi"/>
          <w:b/>
          <w:spacing w:val="-4"/>
        </w:rPr>
        <w:t xml:space="preserve"> or if benzathine benzylpenicillin is unavailable</w:t>
      </w:r>
      <w:r w:rsidRPr="00AB3ADA">
        <w:rPr>
          <w:rFonts w:cstheme="minorHAnsi"/>
          <w:b/>
          <w:spacing w:val="-4"/>
        </w:rPr>
        <w:t>:</w:t>
      </w:r>
    </w:p>
    <w:p w:rsidR="00F07A70" w:rsidRPr="00AB3ADA" w:rsidRDefault="00F07A70" w:rsidP="00F07A70">
      <w:pPr>
        <w:widowControl w:val="0"/>
        <w:autoSpaceDE w:val="0"/>
        <w:autoSpaceDN w:val="0"/>
        <w:adjustRightInd w:val="0"/>
        <w:spacing w:after="0" w:line="240" w:lineRule="auto"/>
        <w:jc w:val="both"/>
        <w:rPr>
          <w:rFonts w:cstheme="minorHAnsi"/>
          <w:i/>
          <w:spacing w:val="-4"/>
        </w:rPr>
      </w:pPr>
      <w:r w:rsidRPr="00AB3ADA">
        <w:rPr>
          <w:rFonts w:cstheme="minorHAnsi"/>
          <w:spacing w:val="-4"/>
          <w:u w:val="single"/>
        </w:rPr>
        <w:t>Doxycycline, oral:</w:t>
      </w:r>
      <w:r w:rsidRPr="00AB3ADA">
        <w:rPr>
          <w:rFonts w:cstheme="minorHAnsi"/>
          <w:i/>
          <w:spacing w:val="-4"/>
        </w:rPr>
        <w:t xml:space="preserve"> added</w:t>
      </w:r>
    </w:p>
    <w:p w:rsidR="00F07A70" w:rsidRPr="00AB3ADA" w:rsidRDefault="00F07A70" w:rsidP="00F07A70">
      <w:pPr>
        <w:widowControl w:val="0"/>
        <w:autoSpaceDE w:val="0"/>
        <w:autoSpaceDN w:val="0"/>
        <w:adjustRightInd w:val="0"/>
        <w:spacing w:after="0" w:line="240" w:lineRule="auto"/>
        <w:jc w:val="both"/>
        <w:rPr>
          <w:rFonts w:cstheme="minorHAnsi"/>
          <w:lang w:eastAsia="en-ZA"/>
        </w:rPr>
      </w:pPr>
      <w:r w:rsidRPr="00AB3ADA">
        <w:rPr>
          <w:rFonts w:cstheme="minorHAnsi"/>
          <w:i/>
          <w:spacing w:val="-4"/>
        </w:rPr>
        <w:t>Rationale:</w:t>
      </w:r>
      <w:r w:rsidRPr="00AB3ADA">
        <w:rPr>
          <w:rFonts w:cstheme="minorHAnsi"/>
          <w:spacing w:val="-4"/>
        </w:rPr>
        <w:t xml:space="preserve">Management in patients with severe penicillin allergy aligned with the WHO </w:t>
      </w:r>
      <w:r w:rsidRPr="00AB3ADA">
        <w:rPr>
          <w:rFonts w:cstheme="minorHAnsi"/>
          <w:lang w:eastAsia="en-ZA"/>
        </w:rPr>
        <w:t xml:space="preserve">guidelines for the treatment of </w:t>
      </w:r>
      <w:r w:rsidRPr="00AB3ADA">
        <w:rPr>
          <w:rFonts w:cstheme="minorHAnsi"/>
          <w:i/>
          <w:lang w:eastAsia="en-ZA"/>
        </w:rPr>
        <w:t>Treponema pallidum</w:t>
      </w:r>
      <w:r w:rsidRPr="00AB3ADA">
        <w:rPr>
          <w:rFonts w:cstheme="minorHAnsi"/>
          <w:lang w:eastAsia="en-ZA"/>
        </w:rPr>
        <w:t xml:space="preserve"> (syphilis), 2016.</w:t>
      </w:r>
    </w:p>
    <w:p w:rsidR="00F07A70" w:rsidRPr="00AB3ADA" w:rsidRDefault="00F07A70" w:rsidP="00F07A70">
      <w:pPr>
        <w:widowControl w:val="0"/>
        <w:autoSpaceDE w:val="0"/>
        <w:autoSpaceDN w:val="0"/>
        <w:adjustRightInd w:val="0"/>
        <w:spacing w:after="0" w:line="240" w:lineRule="auto"/>
        <w:jc w:val="both"/>
        <w:rPr>
          <w:rFonts w:cstheme="minorHAnsi"/>
          <w:b/>
          <w:spacing w:val="-4"/>
        </w:rPr>
      </w:pPr>
      <w:r w:rsidRPr="00AB3ADA">
        <w:rPr>
          <w:rFonts w:cstheme="minorHAnsi"/>
          <w:b/>
          <w:lang w:eastAsia="en-ZA"/>
        </w:rPr>
        <w:t>Level of Evidence: III Guidelines</w:t>
      </w:r>
      <w:r w:rsidRPr="00AB3ADA">
        <w:rPr>
          <w:rStyle w:val="FootnoteReference"/>
          <w:b/>
          <w:lang w:eastAsia="en-ZA"/>
        </w:rPr>
        <w:footnoteReference w:id="16"/>
      </w:r>
    </w:p>
    <w:p w:rsidR="00F07A70" w:rsidRPr="00AB3ADA" w:rsidRDefault="00F07A70" w:rsidP="00C05DE2">
      <w:pPr>
        <w:spacing w:after="0"/>
        <w:rPr>
          <w:b/>
        </w:rPr>
      </w:pPr>
    </w:p>
    <w:p w:rsidR="00A6314A" w:rsidRPr="00AB3ADA" w:rsidRDefault="00A6314A" w:rsidP="00A6314A">
      <w:pPr>
        <w:spacing w:after="0" w:line="240" w:lineRule="auto"/>
        <w:jc w:val="both"/>
      </w:pPr>
      <w:r w:rsidRPr="00AB3ADA">
        <w:rPr>
          <w:b/>
        </w:rPr>
        <w:t xml:space="preserve">Budget impact analysis: </w:t>
      </w:r>
      <w:r w:rsidRPr="00AB3ADA">
        <w:t>It is anticipated that the budget impact would be less for the syndromic management of STIs when guided by the updated algorithms compared to the current PHC 2014 STI algorithms. An estimated budget impact will be costed for tabling with the final STI chapter (using direct medicine costs only).</w:t>
      </w:r>
    </w:p>
    <w:sectPr w:rsidR="00A6314A" w:rsidRPr="00AB3ADA" w:rsidSect="004816A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2EEE3C" w15:done="0"/>
  <w15:commentEx w15:paraId="37D7F486" w15:done="0"/>
  <w15:commentEx w15:paraId="72CC9A02" w15:done="0"/>
  <w15:commentEx w15:paraId="2E3D3D0F" w15:done="0"/>
  <w15:commentEx w15:paraId="7E5C2583" w15:done="0"/>
  <w15:commentEx w15:paraId="30181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2EEE3C" w16cid:durableId="1DAED1CD"/>
  <w16cid:commentId w16cid:paraId="37D7F486" w16cid:durableId="1DAED1CE"/>
  <w16cid:commentId w16cid:paraId="72CC9A02" w16cid:durableId="1DAED1CF"/>
  <w16cid:commentId w16cid:paraId="2E3D3D0F" w16cid:durableId="1DAED1D0"/>
  <w16cid:commentId w16cid:paraId="7E5C2583" w16cid:durableId="1DAED1D1"/>
  <w16cid:commentId w16cid:paraId="30181438" w16cid:durableId="1DAED1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523" w:rsidRDefault="00F13523" w:rsidP="00100D69">
      <w:pPr>
        <w:spacing w:after="0" w:line="240" w:lineRule="auto"/>
      </w:pPr>
      <w:r>
        <w:separator/>
      </w:r>
    </w:p>
  </w:endnote>
  <w:endnote w:type="continuationSeparator" w:id="1">
    <w:p w:rsidR="00F13523" w:rsidRDefault="00F13523" w:rsidP="0010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FF" w:rsidRDefault="00795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12456"/>
      <w:docPartObj>
        <w:docPartGallery w:val="Page Numbers (Bottom of Page)"/>
        <w:docPartUnique/>
      </w:docPartObj>
    </w:sdtPr>
    <w:sdtContent>
      <w:p w:rsidR="00DE3F6A" w:rsidRDefault="00DE3F6A">
        <w:pPr>
          <w:pStyle w:val="Footer"/>
          <w:jc w:val="right"/>
        </w:pPr>
        <w:r w:rsidRPr="00ED1999">
          <w:t>PHCh12_STI_</w:t>
        </w:r>
        <w:r w:rsidR="00795DFF" w:rsidRPr="00ED1999">
          <w:t>R</w:t>
        </w:r>
        <w:r w:rsidR="00795DFF">
          <w:t>4C</w:t>
        </w:r>
        <w:r w:rsidRPr="00ED1999">
          <w:t>_</w:t>
        </w:r>
        <w:r>
          <w:t>2November2017</w:t>
        </w:r>
        <w:r>
          <w:tab/>
        </w:r>
        <w:r>
          <w:tab/>
        </w:r>
        <w:r w:rsidR="00AE67F2">
          <w:fldChar w:fldCharType="begin"/>
        </w:r>
        <w:r w:rsidR="001B6929">
          <w:instrText xml:space="preserve"> PAGE   \* MERGEFORMAT </w:instrText>
        </w:r>
        <w:r w:rsidR="00AE67F2">
          <w:fldChar w:fldCharType="separate"/>
        </w:r>
        <w:r w:rsidR="00F3018E">
          <w:rPr>
            <w:noProof/>
          </w:rPr>
          <w:t>8</w:t>
        </w:r>
        <w:r w:rsidR="00AE67F2">
          <w:rPr>
            <w:noProof/>
          </w:rPr>
          <w:fldChar w:fldCharType="end"/>
        </w:r>
      </w:p>
    </w:sdtContent>
  </w:sdt>
  <w:p w:rsidR="00DE3F6A" w:rsidRDefault="00DE3F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FF" w:rsidRDefault="00795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523" w:rsidRPr="004D054B" w:rsidRDefault="00F13523" w:rsidP="00100D69">
      <w:pPr>
        <w:spacing w:after="0" w:line="240" w:lineRule="auto"/>
        <w:rPr>
          <w:sz w:val="10"/>
        </w:rPr>
      </w:pPr>
    </w:p>
  </w:footnote>
  <w:footnote w:type="continuationSeparator" w:id="1">
    <w:p w:rsidR="00F13523" w:rsidRPr="004D054B" w:rsidRDefault="00F13523" w:rsidP="00100D69">
      <w:pPr>
        <w:spacing w:after="0" w:line="240" w:lineRule="auto"/>
        <w:rPr>
          <w:sz w:val="10"/>
        </w:rPr>
      </w:pPr>
    </w:p>
  </w:footnote>
  <w:footnote w:id="2">
    <w:p w:rsidR="00DE3F6A" w:rsidRPr="00FE1736" w:rsidRDefault="00DE3F6A" w:rsidP="00754030">
      <w:pPr>
        <w:pStyle w:val="FootnoteText"/>
        <w:spacing w:after="0" w:line="240" w:lineRule="auto"/>
        <w:rPr>
          <w:rFonts w:asciiTheme="minorHAnsi" w:hAnsiTheme="minorHAnsi" w:cstheme="minorHAnsi"/>
          <w:sz w:val="16"/>
          <w:szCs w:val="16"/>
        </w:rPr>
      </w:pPr>
      <w:r w:rsidRPr="00FE1736">
        <w:rPr>
          <w:rStyle w:val="FootnoteReference"/>
          <w:rFonts w:asciiTheme="minorHAnsi" w:hAnsiTheme="minorHAnsi" w:cstheme="minorHAnsi"/>
          <w:sz w:val="16"/>
          <w:szCs w:val="16"/>
        </w:rPr>
        <w:footnoteRef/>
      </w:r>
      <w:r w:rsidRPr="00FE1736">
        <w:rPr>
          <w:rFonts w:asciiTheme="minorHAnsi" w:hAnsiTheme="minorHAnsi" w:cstheme="minorHAnsi"/>
          <w:sz w:val="16"/>
          <w:szCs w:val="16"/>
        </w:rPr>
        <w:t xml:space="preserve">Centers for Disease Control and Prevention. 2015 Sexually Transmitted Diseases Treatment Guidelines. </w:t>
      </w:r>
      <w:hyperlink r:id="rId1" w:history="1">
        <w:r w:rsidRPr="00FE1736">
          <w:rPr>
            <w:rStyle w:val="Hyperlink"/>
            <w:rFonts w:asciiTheme="minorHAnsi" w:hAnsiTheme="minorHAnsi" w:cstheme="minorHAnsi"/>
            <w:sz w:val="16"/>
            <w:szCs w:val="16"/>
          </w:rPr>
          <w:t>https://www.cdc.gov/std/tg2015/</w:t>
        </w:r>
      </w:hyperlink>
    </w:p>
  </w:footnote>
  <w:footnote w:id="3">
    <w:p w:rsidR="00DE3F6A" w:rsidRPr="00B61917" w:rsidRDefault="00DE3F6A" w:rsidP="00B61917">
      <w:pPr>
        <w:pStyle w:val="FootnoteText"/>
        <w:spacing w:after="0" w:line="240" w:lineRule="auto"/>
        <w:rPr>
          <w:sz w:val="16"/>
          <w:szCs w:val="16"/>
        </w:rPr>
      </w:pPr>
      <w:r w:rsidRPr="00B61917">
        <w:rPr>
          <w:rStyle w:val="FootnoteReference"/>
          <w:sz w:val="16"/>
          <w:szCs w:val="16"/>
        </w:rPr>
        <w:footnoteRef/>
      </w:r>
      <w:r w:rsidRPr="00B61917">
        <w:rPr>
          <w:sz w:val="16"/>
          <w:szCs w:val="16"/>
        </w:rPr>
        <w:t xml:space="preserve"> National Institute for Communicable Diseases. Report on the Sentinel Surveillance of Sexually Transmitted Infection Syndrome Aetiologies and HPV Genotypes among Patients attending Public Health Facilities in South Africa (April 2014 – September 2015), embargoed, to be published.</w:t>
      </w:r>
    </w:p>
  </w:footnote>
  <w:footnote w:id="4">
    <w:p w:rsidR="00DE3F6A" w:rsidRPr="00C36E78" w:rsidRDefault="00DE3F6A" w:rsidP="00C36E78">
      <w:pPr>
        <w:pStyle w:val="FootnoteText"/>
        <w:spacing w:after="0"/>
        <w:rPr>
          <w:rFonts w:asciiTheme="minorHAnsi" w:hAnsiTheme="minorHAnsi" w:cstheme="minorHAnsi"/>
          <w:sz w:val="16"/>
          <w:szCs w:val="16"/>
        </w:rPr>
      </w:pPr>
      <w:r w:rsidRPr="00C36E78">
        <w:rPr>
          <w:rStyle w:val="FootnoteReference"/>
          <w:rFonts w:asciiTheme="minorHAnsi" w:hAnsiTheme="minorHAnsi" w:cstheme="minorHAnsi"/>
          <w:sz w:val="16"/>
          <w:szCs w:val="16"/>
        </w:rPr>
        <w:footnoteRef/>
      </w:r>
      <w:r w:rsidRPr="00C36E78">
        <w:rPr>
          <w:rFonts w:asciiTheme="minorHAnsi" w:hAnsiTheme="minorHAnsi" w:cstheme="minorHAnsi"/>
          <w:spacing w:val="-4"/>
          <w:sz w:val="16"/>
          <w:szCs w:val="16"/>
        </w:rPr>
        <w:t>National Institute for Communicable Diseases. Report on the Sentinel Surveillance of Sexually Transmitted Infection Syndrome Aetiologies and HPV Genotypes among Patients attending Public Health Facilities in South Africa (April 2014 – September 2015), embargoed, to be published.</w:t>
      </w:r>
    </w:p>
  </w:footnote>
  <w:footnote w:id="5">
    <w:p w:rsidR="00DE3F6A" w:rsidRPr="00A47C8F" w:rsidRDefault="00DE3F6A" w:rsidP="00436F84">
      <w:pPr>
        <w:pStyle w:val="CommentText"/>
        <w:widowControl w:val="0"/>
        <w:tabs>
          <w:tab w:val="left" w:pos="567"/>
        </w:tabs>
        <w:rPr>
          <w:rFonts w:asciiTheme="minorHAnsi" w:hAnsiTheme="minorHAnsi" w:cstheme="minorHAnsi"/>
          <w:sz w:val="22"/>
          <w:szCs w:val="22"/>
        </w:rPr>
      </w:pPr>
      <w:r w:rsidRPr="00C36E78">
        <w:rPr>
          <w:rStyle w:val="FootnoteReference"/>
          <w:rFonts w:asciiTheme="minorHAnsi" w:hAnsiTheme="minorHAnsi" w:cstheme="minorHAnsi"/>
          <w:sz w:val="16"/>
          <w:szCs w:val="16"/>
        </w:rPr>
        <w:footnoteRef/>
      </w:r>
      <w:r w:rsidRPr="00C36E78">
        <w:rPr>
          <w:rFonts w:asciiTheme="minorHAnsi" w:hAnsiTheme="minorHAnsi" w:cstheme="minorHAnsi"/>
          <w:spacing w:val="-4"/>
          <w:sz w:val="16"/>
          <w:szCs w:val="16"/>
        </w:rPr>
        <w:t>National Institute for Communicable Diseases. Report on the Sentinel Surveillance of Sexually Transmitted Infection Syndrome Aetiologies and HPV Genotypes among Patients attending Public Health Facilities in South Africa (April 2014 – September 2015), embargoed, to be published.</w:t>
      </w:r>
    </w:p>
  </w:footnote>
  <w:footnote w:id="6">
    <w:p w:rsidR="00DE3F6A" w:rsidRDefault="00DE3F6A" w:rsidP="009F6F72">
      <w:pPr>
        <w:pStyle w:val="FootnoteText"/>
        <w:spacing w:after="0" w:line="240" w:lineRule="auto"/>
      </w:pPr>
      <w:r w:rsidRPr="000C3272">
        <w:rPr>
          <w:rStyle w:val="FootnoteReference"/>
          <w:sz w:val="16"/>
          <w:szCs w:val="16"/>
        </w:rPr>
        <w:footnoteRef/>
      </w:r>
      <w:r w:rsidRPr="000C3272">
        <w:rPr>
          <w:sz w:val="16"/>
          <w:szCs w:val="16"/>
        </w:rPr>
        <w:t>NDoH: Comprehensive STI Clinical Management Guidelines, draft version.</w:t>
      </w:r>
    </w:p>
  </w:footnote>
  <w:footnote w:id="7">
    <w:p w:rsidR="00DE3F6A" w:rsidRPr="004D054B" w:rsidRDefault="00DE3F6A" w:rsidP="004D054B">
      <w:pPr>
        <w:pStyle w:val="FootnoteText"/>
        <w:spacing w:after="0" w:line="240" w:lineRule="auto"/>
        <w:rPr>
          <w:sz w:val="16"/>
          <w:szCs w:val="16"/>
        </w:rPr>
      </w:pPr>
      <w:r>
        <w:rPr>
          <w:rStyle w:val="FootnoteReference"/>
        </w:rPr>
        <w:footnoteRef/>
      </w:r>
      <w:r w:rsidRPr="009172F1">
        <w:rPr>
          <w:rFonts w:asciiTheme="minorHAnsi" w:hAnsiTheme="minorHAnsi" w:cstheme="minorHAnsi"/>
          <w:sz w:val="16"/>
          <w:szCs w:val="16"/>
          <w:lang w:eastAsia="en-ZA"/>
        </w:rPr>
        <w:t xml:space="preserve">World Health Organization. WHO guidelines for the treatment of Treponema pallidum (syphilis), 2016. </w:t>
      </w:r>
      <w:hyperlink r:id="rId2" w:history="1">
        <w:r w:rsidRPr="009172F1">
          <w:rPr>
            <w:rStyle w:val="Hyperlink"/>
            <w:rFonts w:asciiTheme="minorHAnsi" w:hAnsiTheme="minorHAnsi" w:cstheme="minorHAnsi"/>
            <w:sz w:val="16"/>
            <w:szCs w:val="16"/>
            <w:lang w:eastAsia="en-ZA"/>
          </w:rPr>
          <w:t>http://apps.who.int/iris/bitstream/10665/249572/1/9789241549806-eng.pdf</w:t>
        </w:r>
      </w:hyperlink>
    </w:p>
  </w:footnote>
  <w:footnote w:id="8">
    <w:p w:rsidR="00DE3F6A" w:rsidRPr="009A0AA8" w:rsidRDefault="00DE3F6A" w:rsidP="009A0AA8">
      <w:pPr>
        <w:pStyle w:val="HTMLPreformatted"/>
        <w:rPr>
          <w:rFonts w:asciiTheme="minorHAnsi" w:hAnsiTheme="minorHAnsi" w:cstheme="minorHAnsi"/>
          <w:sz w:val="16"/>
          <w:szCs w:val="16"/>
        </w:rPr>
      </w:pPr>
      <w:r w:rsidRPr="009A0AA8">
        <w:rPr>
          <w:rStyle w:val="FootnoteReference"/>
          <w:rFonts w:asciiTheme="minorHAnsi" w:hAnsiTheme="minorHAnsi" w:cstheme="minorHAnsi"/>
          <w:sz w:val="16"/>
          <w:szCs w:val="16"/>
        </w:rPr>
        <w:footnoteRef/>
      </w:r>
      <w:r w:rsidRPr="009A0AA8">
        <w:rPr>
          <w:rFonts w:asciiTheme="minorHAnsi" w:hAnsiTheme="minorHAnsi" w:cstheme="minorHAnsi"/>
          <w:color w:val="000000"/>
          <w:sz w:val="16"/>
          <w:szCs w:val="16"/>
        </w:rPr>
        <w:t xml:space="preserve">González-Beiras C, Marks M, Chen CY, Roberts S, Mitjà O. Epidemiology of </w:t>
      </w:r>
      <w:r w:rsidRPr="009A0AA8">
        <w:rPr>
          <w:rFonts w:asciiTheme="minorHAnsi" w:hAnsiTheme="minorHAnsi" w:cstheme="minorHAnsi"/>
          <w:sz w:val="16"/>
          <w:szCs w:val="16"/>
        </w:rPr>
        <w:t>Haemophilus ducreyi Infections. Emerg Infect Dis. 2016 Jan;22(1):1-8</w:t>
      </w:r>
    </w:p>
    <w:p w:rsidR="00DE3F6A" w:rsidRPr="00840518" w:rsidRDefault="00DE3F6A" w:rsidP="009A0AA8">
      <w:pPr>
        <w:pStyle w:val="HTMLPreformatted"/>
        <w:rPr>
          <w:rFonts w:asciiTheme="minorHAnsi" w:hAnsiTheme="minorHAnsi" w:cstheme="minorHAnsi"/>
        </w:rPr>
      </w:pPr>
      <w:r w:rsidRPr="009A0AA8">
        <w:rPr>
          <w:rFonts w:asciiTheme="minorHAnsi" w:hAnsiTheme="minorHAnsi" w:cstheme="minorHAnsi"/>
          <w:sz w:val="16"/>
          <w:szCs w:val="16"/>
        </w:rPr>
        <w:t>-</w:t>
      </w:r>
      <w:r w:rsidRPr="009172F1">
        <w:rPr>
          <w:rFonts w:asciiTheme="minorHAnsi" w:hAnsiTheme="minorHAnsi" w:cstheme="minorHAnsi"/>
          <w:i/>
          <w:sz w:val="16"/>
          <w:szCs w:val="16"/>
        </w:rPr>
        <w:t xml:space="preserve"> surveillance data reported 2 isolates of Haemophilus ducreyi and 1 isolate of </w:t>
      </w:r>
      <w:r w:rsidRPr="009172F1">
        <w:rPr>
          <w:rFonts w:asciiTheme="minorHAnsi" w:hAnsiTheme="minorHAnsi" w:cstheme="minorHAnsi"/>
          <w:i/>
          <w:sz w:val="16"/>
          <w:szCs w:val="16"/>
          <w:shd w:val="clear" w:color="auto" w:fill="FFFFFF"/>
        </w:rPr>
        <w:t>Lymphogranuloma venereum</w:t>
      </w:r>
      <w:r w:rsidRPr="009172F1">
        <w:rPr>
          <w:rFonts w:asciiTheme="minorHAnsi" w:hAnsiTheme="minorHAnsi" w:cstheme="minorHAnsi"/>
          <w:i/>
          <w:sz w:val="16"/>
          <w:szCs w:val="16"/>
        </w:rPr>
        <w:t xml:space="preserve"> (n=171specimens)</w:t>
      </w:r>
    </w:p>
  </w:footnote>
  <w:footnote w:id="9">
    <w:p w:rsidR="00DE3F6A" w:rsidRPr="009172F1" w:rsidRDefault="00DE3F6A" w:rsidP="009172F1">
      <w:pPr>
        <w:pStyle w:val="HTMLPreformatted"/>
        <w:rPr>
          <w:rFonts w:asciiTheme="minorHAnsi" w:hAnsiTheme="minorHAnsi" w:cstheme="minorHAnsi"/>
          <w:color w:val="000000"/>
          <w:sz w:val="16"/>
          <w:szCs w:val="16"/>
        </w:rPr>
      </w:pPr>
      <w:r w:rsidRPr="009172F1">
        <w:rPr>
          <w:rStyle w:val="FootnoteReference"/>
          <w:rFonts w:asciiTheme="minorHAnsi" w:hAnsiTheme="minorHAnsi" w:cstheme="minorHAnsi"/>
          <w:sz w:val="16"/>
          <w:szCs w:val="16"/>
        </w:rPr>
        <w:footnoteRef/>
      </w:r>
      <w:r w:rsidRPr="009172F1">
        <w:rPr>
          <w:rFonts w:asciiTheme="minorHAnsi" w:hAnsiTheme="minorHAnsi" w:cstheme="minorHAnsi"/>
          <w:color w:val="000000"/>
          <w:sz w:val="16"/>
          <w:szCs w:val="16"/>
        </w:rPr>
        <w:t>Hill SC, Hodson L, Smith A. An audit on the management of lymphogranuloma venereum in a sexual health clinic in London, UK.Int J STD AIDS. 2010 Nov;21(11):772-6.</w:t>
      </w:r>
    </w:p>
  </w:footnote>
  <w:footnote w:id="10">
    <w:p w:rsidR="00DE3F6A" w:rsidRPr="009172F1" w:rsidRDefault="00DE3F6A" w:rsidP="009172F1">
      <w:pPr>
        <w:pStyle w:val="FootnoteText"/>
        <w:spacing w:after="0" w:line="240" w:lineRule="auto"/>
        <w:rPr>
          <w:rFonts w:asciiTheme="minorHAnsi" w:hAnsiTheme="minorHAnsi" w:cstheme="minorHAnsi"/>
          <w:sz w:val="16"/>
          <w:szCs w:val="16"/>
        </w:rPr>
      </w:pPr>
      <w:r w:rsidRPr="009172F1">
        <w:rPr>
          <w:rStyle w:val="FootnoteReference"/>
          <w:rFonts w:asciiTheme="minorHAnsi" w:hAnsiTheme="minorHAnsi" w:cstheme="minorHAnsi"/>
          <w:sz w:val="16"/>
          <w:szCs w:val="16"/>
        </w:rPr>
        <w:footnoteRef/>
      </w:r>
      <w:r w:rsidRPr="009172F1">
        <w:rPr>
          <w:rFonts w:asciiTheme="minorHAnsi" w:hAnsiTheme="minorHAnsi" w:cstheme="minorHAnsi"/>
          <w:sz w:val="16"/>
          <w:szCs w:val="16"/>
        </w:rPr>
        <w:t xml:space="preserve"> Stoner BP, Cohen SE. Lymphogranuloma Venereum 2015: Clinical Presentation, Diagnosis, and Treatment. Clin Infect Dis. 2015 Dec 15;61Suppl 8:S865-73.</w:t>
      </w:r>
    </w:p>
  </w:footnote>
  <w:footnote w:id="11">
    <w:p w:rsidR="00DE3F6A" w:rsidRPr="009172F1" w:rsidRDefault="00DE3F6A" w:rsidP="009172F1">
      <w:pPr>
        <w:pStyle w:val="FootnoteText"/>
        <w:spacing w:after="0" w:line="240" w:lineRule="auto"/>
        <w:rPr>
          <w:rFonts w:asciiTheme="minorHAnsi" w:hAnsiTheme="minorHAnsi" w:cstheme="minorHAnsi"/>
          <w:sz w:val="16"/>
          <w:szCs w:val="16"/>
        </w:rPr>
      </w:pPr>
      <w:r w:rsidRPr="009172F1">
        <w:rPr>
          <w:rStyle w:val="FootnoteReference"/>
          <w:rFonts w:asciiTheme="minorHAnsi" w:hAnsiTheme="minorHAnsi" w:cstheme="minorHAnsi"/>
          <w:sz w:val="16"/>
          <w:szCs w:val="16"/>
        </w:rPr>
        <w:footnoteRef/>
      </w:r>
      <w:r w:rsidRPr="009172F1">
        <w:rPr>
          <w:rFonts w:asciiTheme="minorHAnsi" w:hAnsiTheme="minorHAnsi" w:cstheme="minorHAnsi"/>
          <w:sz w:val="16"/>
          <w:szCs w:val="16"/>
        </w:rPr>
        <w:t xml:space="preserve"> - Abdennader S, Janier M, Morel P. Syphilitic balanitis of Follmann: three case reports. Acta DermVenereol. 2011 Mar;91(2):191-2.</w:t>
      </w:r>
    </w:p>
  </w:footnote>
  <w:footnote w:id="12">
    <w:p w:rsidR="00DE3F6A" w:rsidRPr="009172F1" w:rsidRDefault="00DE3F6A" w:rsidP="009172F1">
      <w:pPr>
        <w:pStyle w:val="FootnoteText"/>
        <w:spacing w:after="0" w:line="240" w:lineRule="auto"/>
        <w:rPr>
          <w:sz w:val="16"/>
          <w:szCs w:val="16"/>
        </w:rPr>
      </w:pPr>
      <w:r w:rsidRPr="009172F1">
        <w:rPr>
          <w:rStyle w:val="FootnoteReference"/>
          <w:sz w:val="16"/>
          <w:szCs w:val="16"/>
        </w:rPr>
        <w:footnoteRef/>
      </w:r>
      <w:r w:rsidRPr="009172F1">
        <w:rPr>
          <w:rFonts w:asciiTheme="minorHAnsi" w:hAnsiTheme="minorHAnsi" w:cstheme="minorHAnsi"/>
          <w:sz w:val="16"/>
          <w:szCs w:val="16"/>
        </w:rPr>
        <w:t>Mainetti C, Scolari F, Lautenschlager S. The clinical spectrum of syphilitic balanitis of Follmann: report of five cases and a review of the literature. J EurAcadDermatolVenereol. 2016 Oct;30(10):1810-1813.</w:t>
      </w:r>
    </w:p>
  </w:footnote>
  <w:footnote w:id="13">
    <w:p w:rsidR="00DE3F6A" w:rsidRPr="009172F1" w:rsidRDefault="00DE3F6A" w:rsidP="009172F1">
      <w:pPr>
        <w:pStyle w:val="FootnoteText"/>
        <w:spacing w:after="0" w:line="240" w:lineRule="auto"/>
        <w:rPr>
          <w:sz w:val="16"/>
          <w:szCs w:val="16"/>
        </w:rPr>
      </w:pPr>
      <w:r w:rsidRPr="009172F1">
        <w:rPr>
          <w:rStyle w:val="FootnoteReference"/>
          <w:sz w:val="16"/>
          <w:szCs w:val="16"/>
        </w:rPr>
        <w:footnoteRef/>
      </w:r>
      <w:r w:rsidRPr="009172F1">
        <w:rPr>
          <w:rFonts w:asciiTheme="minorHAnsi" w:hAnsiTheme="minorHAnsi" w:cstheme="minorHAnsi"/>
          <w:sz w:val="16"/>
          <w:szCs w:val="16"/>
        </w:rPr>
        <w:t xml:space="preserve">Korta DZ, Lewin JM, Patel RR, Sanchez M. Acute Syphilitic Balanitis and Gross Penile Edema in an HIVInfected Man. </w:t>
      </w:r>
      <w:r w:rsidRPr="009172F1">
        <w:rPr>
          <w:rFonts w:asciiTheme="minorHAnsi" w:hAnsiTheme="minorHAnsi" w:cstheme="minorHAnsi"/>
          <w:bCs/>
          <w:iCs/>
          <w:sz w:val="16"/>
          <w:szCs w:val="16"/>
          <w:lang w:eastAsia="en-ZA"/>
        </w:rPr>
        <w:t>Global Journal of Dermatology &amp; Venereology. 2013;1:18-20.</w:t>
      </w:r>
    </w:p>
  </w:footnote>
  <w:footnote w:id="14">
    <w:p w:rsidR="00DE3F6A" w:rsidRPr="009172F1" w:rsidRDefault="00DE3F6A" w:rsidP="009172F1">
      <w:pPr>
        <w:pStyle w:val="FootnoteText"/>
        <w:spacing w:after="0" w:line="240" w:lineRule="auto"/>
        <w:rPr>
          <w:sz w:val="16"/>
          <w:szCs w:val="16"/>
        </w:rPr>
      </w:pPr>
      <w:r w:rsidRPr="009172F1">
        <w:rPr>
          <w:rStyle w:val="FootnoteReference"/>
          <w:sz w:val="16"/>
          <w:szCs w:val="16"/>
        </w:rPr>
        <w:footnoteRef/>
      </w:r>
      <w:r w:rsidRPr="009172F1">
        <w:rPr>
          <w:rFonts w:asciiTheme="minorHAnsi" w:hAnsiTheme="minorHAnsi" w:cstheme="minorHAnsi"/>
          <w:color w:val="000000"/>
          <w:sz w:val="16"/>
          <w:szCs w:val="16"/>
        </w:rPr>
        <w:t xml:space="preserve">Edwards SK, Bunker CB, Ziller F, van der Meijden WI.2013 European guideline </w:t>
      </w:r>
      <w:r w:rsidRPr="009172F1">
        <w:rPr>
          <w:rFonts w:asciiTheme="minorHAnsi" w:eastAsia="Times New Roman" w:hAnsiTheme="minorHAnsi" w:cstheme="minorHAnsi"/>
          <w:color w:val="000000"/>
          <w:sz w:val="16"/>
          <w:szCs w:val="16"/>
          <w:lang w:eastAsia="en-ZA"/>
        </w:rPr>
        <w:t>for the management of balanoposthitis.Int J STD AIDS. 2014 Aug;25(9):615-26.</w:t>
      </w:r>
    </w:p>
  </w:footnote>
  <w:footnote w:id="15">
    <w:p w:rsidR="00DE3F6A" w:rsidRPr="00FE699C" w:rsidRDefault="00DE3F6A" w:rsidP="00067E2E">
      <w:pPr>
        <w:pStyle w:val="FootnoteText"/>
        <w:spacing w:after="0" w:line="240" w:lineRule="auto"/>
        <w:rPr>
          <w:sz w:val="16"/>
          <w:szCs w:val="16"/>
        </w:rPr>
      </w:pPr>
      <w:r w:rsidRPr="009172F1">
        <w:rPr>
          <w:rStyle w:val="FootnoteReference"/>
          <w:sz w:val="16"/>
          <w:szCs w:val="16"/>
        </w:rPr>
        <w:footnoteRef/>
      </w:r>
      <w:r w:rsidRPr="009172F1">
        <w:rPr>
          <w:rFonts w:asciiTheme="minorHAnsi" w:hAnsiTheme="minorHAnsi" w:cstheme="minorHAnsi"/>
          <w:sz w:val="16"/>
          <w:szCs w:val="16"/>
          <w:lang w:eastAsia="en-ZA"/>
        </w:rPr>
        <w:t xml:space="preserve">World Health Organization. WHO guidelines for the treatment of Treponema pallidum (syphilis), 2016. </w:t>
      </w:r>
      <w:hyperlink r:id="rId3" w:history="1">
        <w:r w:rsidRPr="009172F1">
          <w:rPr>
            <w:rStyle w:val="Hyperlink"/>
            <w:rFonts w:asciiTheme="minorHAnsi" w:hAnsiTheme="minorHAnsi" w:cstheme="minorHAnsi"/>
            <w:sz w:val="16"/>
            <w:szCs w:val="16"/>
            <w:lang w:eastAsia="en-ZA"/>
          </w:rPr>
          <w:t>http://apps.who.int/iris/bitstream/10665/249572/1/9789241549806-eng.pdf</w:t>
        </w:r>
      </w:hyperlink>
    </w:p>
  </w:footnote>
  <w:footnote w:id="16">
    <w:p w:rsidR="00DE3F6A" w:rsidRPr="00FE699C" w:rsidRDefault="00DE3F6A" w:rsidP="009172F1">
      <w:pPr>
        <w:pStyle w:val="FootnoteText"/>
        <w:spacing w:after="0" w:line="240" w:lineRule="auto"/>
        <w:rPr>
          <w:sz w:val="16"/>
          <w:szCs w:val="16"/>
        </w:rPr>
      </w:pPr>
      <w:r w:rsidRPr="009172F1">
        <w:rPr>
          <w:rStyle w:val="FootnoteReference"/>
          <w:sz w:val="16"/>
          <w:szCs w:val="16"/>
        </w:rPr>
        <w:footnoteRef/>
      </w:r>
      <w:r w:rsidRPr="009172F1">
        <w:rPr>
          <w:rFonts w:asciiTheme="minorHAnsi" w:hAnsiTheme="minorHAnsi" w:cstheme="minorHAnsi"/>
          <w:sz w:val="16"/>
          <w:szCs w:val="16"/>
          <w:lang w:eastAsia="en-ZA"/>
        </w:rPr>
        <w:t xml:space="preserve">World Health Organization. WHO guidelines for the treatment of Treponema pallidum (syphilis), 2016. </w:t>
      </w:r>
      <w:hyperlink r:id="rId4" w:history="1">
        <w:r w:rsidRPr="009172F1">
          <w:rPr>
            <w:rStyle w:val="Hyperlink"/>
            <w:rFonts w:asciiTheme="minorHAnsi" w:hAnsiTheme="minorHAnsi" w:cstheme="minorHAnsi"/>
            <w:sz w:val="16"/>
            <w:szCs w:val="16"/>
            <w:lang w:eastAsia="en-ZA"/>
          </w:rPr>
          <w:t>http://apps.who.int/iris/bitstream/10665/249572/1/9789241549806-eng.pdf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FF" w:rsidRDefault="00795D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6A" w:rsidRDefault="00DE3F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FF" w:rsidRDefault="00795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1F0"/>
    <w:multiLevelType w:val="hybridMultilevel"/>
    <w:tmpl w:val="48B49DE8"/>
    <w:lvl w:ilvl="0" w:tplc="97F6339E">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11F0413"/>
    <w:multiLevelType w:val="hybridMultilevel"/>
    <w:tmpl w:val="FCBA26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B2A62B4"/>
    <w:multiLevelType w:val="hybridMultilevel"/>
    <w:tmpl w:val="B1963CDE"/>
    <w:lvl w:ilvl="0" w:tplc="1C090001">
      <w:start w:val="1"/>
      <w:numFmt w:val="bullet"/>
      <w:lvlText w:val=""/>
      <w:lvlJc w:val="left"/>
      <w:pPr>
        <w:ind w:left="360" w:hanging="360"/>
      </w:pPr>
      <w:rPr>
        <w:rFonts w:ascii="Symbol" w:hAnsi="Symbol" w:hint="default"/>
      </w:rPr>
    </w:lvl>
    <w:lvl w:ilvl="1" w:tplc="1C090003">
      <w:numFmt w:val="bullet"/>
      <w:lvlText w:val="-"/>
      <w:lvlJc w:val="left"/>
      <w:pPr>
        <w:ind w:left="1080" w:hanging="360"/>
      </w:pPr>
      <w:rPr>
        <w:rFonts w:ascii="Arial" w:eastAsia="Times New Roman"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BBC1315"/>
    <w:multiLevelType w:val="hybridMultilevel"/>
    <w:tmpl w:val="5F828C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D900BB3"/>
    <w:multiLevelType w:val="hybridMultilevel"/>
    <w:tmpl w:val="56DCA688"/>
    <w:lvl w:ilvl="0" w:tplc="97F633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6160B4"/>
    <w:multiLevelType w:val="hybridMultilevel"/>
    <w:tmpl w:val="28EE8B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567C15DC"/>
    <w:multiLevelType w:val="multilevel"/>
    <w:tmpl w:val="856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34F2E"/>
    <w:multiLevelType w:val="hybridMultilevel"/>
    <w:tmpl w:val="7470778E"/>
    <w:lvl w:ilvl="0" w:tplc="0F64AE1C">
      <w:start w:val="1"/>
      <w:numFmt w:val="upperLetter"/>
      <w:lvlText w:val="%1."/>
      <w:lvlJc w:val="left"/>
      <w:pPr>
        <w:ind w:left="360" w:hanging="360"/>
      </w:pPr>
      <w:rPr>
        <w:rFonts w:hint="default"/>
        <w:b/>
      </w:rPr>
    </w:lvl>
    <w:lvl w:ilvl="1" w:tplc="1C090003">
      <w:numFmt w:val="bullet"/>
      <w:lvlText w:val="-"/>
      <w:lvlJc w:val="left"/>
      <w:pPr>
        <w:ind w:left="1080" w:hanging="360"/>
      </w:pPr>
      <w:rPr>
        <w:rFonts w:ascii="Arial" w:eastAsia="Times New Roman"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A0A0D3A"/>
    <w:multiLevelType w:val="hybridMultilevel"/>
    <w:tmpl w:val="D682D756"/>
    <w:lvl w:ilvl="0" w:tplc="48E00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3765E6"/>
    <w:multiLevelType w:val="hybridMultilevel"/>
    <w:tmpl w:val="E1B6C1BA"/>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C8324A"/>
    <w:multiLevelType w:val="hybridMultilevel"/>
    <w:tmpl w:val="211EC2D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5231F52"/>
    <w:multiLevelType w:val="hybridMultilevel"/>
    <w:tmpl w:val="A704F1EA"/>
    <w:lvl w:ilvl="0" w:tplc="97F633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714908"/>
    <w:multiLevelType w:val="hybridMultilevel"/>
    <w:tmpl w:val="E1368D7C"/>
    <w:lvl w:ilvl="0" w:tplc="97F633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5"/>
  </w:num>
  <w:num w:numId="6">
    <w:abstractNumId w:val="6"/>
  </w:num>
  <w:num w:numId="7">
    <w:abstractNumId w:val="3"/>
  </w:num>
  <w:num w:numId="8">
    <w:abstractNumId w:val="0"/>
  </w:num>
  <w:num w:numId="9">
    <w:abstractNumId w:val="11"/>
  </w:num>
  <w:num w:numId="10">
    <w:abstractNumId w:val="7"/>
  </w:num>
  <w:num w:numId="11">
    <w:abstractNumId w:val="12"/>
  </w:num>
  <w:num w:numId="12">
    <w:abstractNumId w:val="9"/>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Cohen">
    <w15:presenceInfo w15:providerId="None" w15:userId="Karen Coh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trackRevisions/>
  <w:defaultTabStop w:val="720"/>
  <w:characterSpacingControl w:val="doNotCompress"/>
  <w:hdrShapeDefaults>
    <o:shapedefaults v:ext="edit" spidmax="6146"/>
  </w:hdrShapeDefaults>
  <w:footnotePr>
    <w:footnote w:id="0"/>
    <w:footnote w:id="1"/>
  </w:footnotePr>
  <w:endnotePr>
    <w:endnote w:id="0"/>
    <w:endnote w:id="1"/>
  </w:endnotePr>
  <w:compat/>
  <w:rsids>
    <w:rsidRoot w:val="00100D69"/>
    <w:rsid w:val="0004500B"/>
    <w:rsid w:val="00067E2E"/>
    <w:rsid w:val="000A592A"/>
    <w:rsid w:val="000A6B2C"/>
    <w:rsid w:val="000E4F85"/>
    <w:rsid w:val="00100D69"/>
    <w:rsid w:val="00126868"/>
    <w:rsid w:val="00134305"/>
    <w:rsid w:val="0018655B"/>
    <w:rsid w:val="001B6929"/>
    <w:rsid w:val="001B6D32"/>
    <w:rsid w:val="001C72F1"/>
    <w:rsid w:val="001D7E11"/>
    <w:rsid w:val="00221208"/>
    <w:rsid w:val="00232B40"/>
    <w:rsid w:val="00276AF0"/>
    <w:rsid w:val="002912B4"/>
    <w:rsid w:val="002B487A"/>
    <w:rsid w:val="002E5D67"/>
    <w:rsid w:val="002F18C7"/>
    <w:rsid w:val="00392243"/>
    <w:rsid w:val="003B3030"/>
    <w:rsid w:val="003C0C09"/>
    <w:rsid w:val="003D1B0C"/>
    <w:rsid w:val="003D1FF8"/>
    <w:rsid w:val="003E4AD5"/>
    <w:rsid w:val="003F23B8"/>
    <w:rsid w:val="00416116"/>
    <w:rsid w:val="00436F84"/>
    <w:rsid w:val="00437A13"/>
    <w:rsid w:val="004816A4"/>
    <w:rsid w:val="004D054B"/>
    <w:rsid w:val="004D0B4F"/>
    <w:rsid w:val="004F1547"/>
    <w:rsid w:val="00516E47"/>
    <w:rsid w:val="00521872"/>
    <w:rsid w:val="00531E6C"/>
    <w:rsid w:val="00535CC9"/>
    <w:rsid w:val="005865B4"/>
    <w:rsid w:val="0059019D"/>
    <w:rsid w:val="00605914"/>
    <w:rsid w:val="006108E3"/>
    <w:rsid w:val="00612AD7"/>
    <w:rsid w:val="00615DC1"/>
    <w:rsid w:val="006245FA"/>
    <w:rsid w:val="006415F7"/>
    <w:rsid w:val="006E01DB"/>
    <w:rsid w:val="006E40D1"/>
    <w:rsid w:val="00707B20"/>
    <w:rsid w:val="00714392"/>
    <w:rsid w:val="007406E9"/>
    <w:rsid w:val="00741D5E"/>
    <w:rsid w:val="007458F3"/>
    <w:rsid w:val="00754030"/>
    <w:rsid w:val="00795DFF"/>
    <w:rsid w:val="007C3C8D"/>
    <w:rsid w:val="007F7199"/>
    <w:rsid w:val="007F78D3"/>
    <w:rsid w:val="00802D67"/>
    <w:rsid w:val="0082065E"/>
    <w:rsid w:val="008270FB"/>
    <w:rsid w:val="00831008"/>
    <w:rsid w:val="0087373E"/>
    <w:rsid w:val="008767DC"/>
    <w:rsid w:val="00877244"/>
    <w:rsid w:val="008C33D1"/>
    <w:rsid w:val="008C59F4"/>
    <w:rsid w:val="008E68CA"/>
    <w:rsid w:val="00914828"/>
    <w:rsid w:val="009172F1"/>
    <w:rsid w:val="00933EC1"/>
    <w:rsid w:val="00950753"/>
    <w:rsid w:val="00975C50"/>
    <w:rsid w:val="009A0AA8"/>
    <w:rsid w:val="009A1512"/>
    <w:rsid w:val="009C6600"/>
    <w:rsid w:val="009D50A0"/>
    <w:rsid w:val="009F6F72"/>
    <w:rsid w:val="00A13596"/>
    <w:rsid w:val="00A15E59"/>
    <w:rsid w:val="00A6314A"/>
    <w:rsid w:val="00A67685"/>
    <w:rsid w:val="00A84ED2"/>
    <w:rsid w:val="00AB3ADA"/>
    <w:rsid w:val="00AE67F2"/>
    <w:rsid w:val="00B24451"/>
    <w:rsid w:val="00B61917"/>
    <w:rsid w:val="00B7161D"/>
    <w:rsid w:val="00BD22BF"/>
    <w:rsid w:val="00C003F4"/>
    <w:rsid w:val="00C05DE2"/>
    <w:rsid w:val="00C0657B"/>
    <w:rsid w:val="00C36E78"/>
    <w:rsid w:val="00C56B8A"/>
    <w:rsid w:val="00C71476"/>
    <w:rsid w:val="00C721BB"/>
    <w:rsid w:val="00C82197"/>
    <w:rsid w:val="00C8636B"/>
    <w:rsid w:val="00CB2F7F"/>
    <w:rsid w:val="00CD2CC4"/>
    <w:rsid w:val="00CD5C50"/>
    <w:rsid w:val="00D26CCE"/>
    <w:rsid w:val="00D42E8C"/>
    <w:rsid w:val="00D44000"/>
    <w:rsid w:val="00D70EBA"/>
    <w:rsid w:val="00D82CEB"/>
    <w:rsid w:val="00D8310C"/>
    <w:rsid w:val="00D87CCF"/>
    <w:rsid w:val="00DE3F6A"/>
    <w:rsid w:val="00E24513"/>
    <w:rsid w:val="00E742E5"/>
    <w:rsid w:val="00E86E6D"/>
    <w:rsid w:val="00EB6590"/>
    <w:rsid w:val="00EB6922"/>
    <w:rsid w:val="00EC0ADF"/>
    <w:rsid w:val="00ED1999"/>
    <w:rsid w:val="00ED3006"/>
    <w:rsid w:val="00EE34AC"/>
    <w:rsid w:val="00F07A70"/>
    <w:rsid w:val="00F11E62"/>
    <w:rsid w:val="00F13523"/>
    <w:rsid w:val="00F3018E"/>
    <w:rsid w:val="00F7748E"/>
    <w:rsid w:val="00FD53A1"/>
    <w:rsid w:val="00FE17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69"/>
    <w:pPr>
      <w:spacing w:after="0" w:line="240" w:lineRule="auto"/>
      <w:ind w:left="720"/>
      <w:contextualSpacing/>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rsid w:val="00100D69"/>
    <w:rPr>
      <w:rFonts w:ascii="Calibri" w:eastAsia="Calibri" w:hAnsi="Calibri" w:cs="Times New Roman"/>
      <w:sz w:val="20"/>
      <w:szCs w:val="20"/>
      <w:lang w:val="en-ZA"/>
    </w:rPr>
  </w:style>
  <w:style w:type="character" w:customStyle="1" w:styleId="FootnoteTextChar">
    <w:name w:val="Footnote Text Char"/>
    <w:basedOn w:val="DefaultParagraphFont"/>
    <w:link w:val="FootnoteText"/>
    <w:uiPriority w:val="99"/>
    <w:rsid w:val="00100D69"/>
    <w:rPr>
      <w:rFonts w:ascii="Calibri" w:eastAsia="Calibri" w:hAnsi="Calibri" w:cs="Times New Roman"/>
      <w:sz w:val="20"/>
      <w:szCs w:val="20"/>
      <w:lang w:val="en-ZA"/>
    </w:rPr>
  </w:style>
  <w:style w:type="character" w:styleId="FootnoteReference">
    <w:name w:val="footnote reference"/>
    <w:basedOn w:val="DefaultParagraphFont"/>
    <w:uiPriority w:val="99"/>
    <w:rsid w:val="00100D69"/>
    <w:rPr>
      <w:rFonts w:cs="Times New Roman"/>
      <w:vertAlign w:val="superscript"/>
    </w:rPr>
  </w:style>
  <w:style w:type="paragraph" w:styleId="CommentText">
    <w:name w:val="annotation text"/>
    <w:basedOn w:val="Normal"/>
    <w:link w:val="CommentTextChar"/>
    <w:rsid w:val="00100D69"/>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rsid w:val="00100D69"/>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10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69"/>
    <w:rPr>
      <w:rFonts w:ascii="Tahoma" w:hAnsi="Tahoma" w:cs="Tahoma"/>
      <w:sz w:val="16"/>
      <w:szCs w:val="16"/>
    </w:rPr>
  </w:style>
  <w:style w:type="table" w:styleId="TableGrid">
    <w:name w:val="Table Grid"/>
    <w:basedOn w:val="TableNormal"/>
    <w:uiPriority w:val="59"/>
    <w:rsid w:val="00100D69"/>
    <w:pPr>
      <w:spacing w:after="0" w:line="240" w:lineRule="auto"/>
    </w:pPr>
    <w:rPr>
      <w:rFonts w:ascii="Calibri" w:eastAsia="Calibri" w:hAnsi="Calibri" w:cs="Times New Roman"/>
      <w:sz w:val="20"/>
      <w:szCs w:val="20"/>
      <w:lang w:val="en-ZA"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C59F4"/>
    <w:pPr>
      <w:autoSpaceDE w:val="0"/>
      <w:autoSpaceDN w:val="0"/>
      <w:adjustRightInd w:val="0"/>
      <w:spacing w:after="0" w:line="240" w:lineRule="auto"/>
    </w:pPr>
    <w:rPr>
      <w:rFonts w:ascii="Arial" w:eastAsia="Times New Roman" w:hAnsi="Arial" w:cs="Arial"/>
      <w:color w:val="000000"/>
      <w:sz w:val="24"/>
      <w:szCs w:val="24"/>
      <w:lang w:val="en-ZA" w:eastAsia="en-ZA"/>
    </w:rPr>
  </w:style>
  <w:style w:type="character" w:styleId="Hyperlink">
    <w:name w:val="Hyperlink"/>
    <w:basedOn w:val="DefaultParagraphFont"/>
    <w:uiPriority w:val="99"/>
    <w:rsid w:val="00754030"/>
    <w:rPr>
      <w:rFonts w:ascii="Arial" w:hAnsi="Arial" w:cs="Arial"/>
      <w:color w:val="1122CC"/>
      <w:u w:val="none"/>
      <w:effect w:val="none"/>
    </w:rPr>
  </w:style>
  <w:style w:type="paragraph" w:styleId="HTMLPreformatted">
    <w:name w:val="HTML Preformatted"/>
    <w:basedOn w:val="Normal"/>
    <w:link w:val="HTMLPreformattedChar"/>
    <w:uiPriority w:val="99"/>
    <w:rsid w:val="009A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9A0AA8"/>
    <w:rPr>
      <w:rFonts w:ascii="Courier New" w:eastAsia="Times New Roman" w:hAnsi="Courier New" w:cs="Courier New"/>
      <w:sz w:val="20"/>
      <w:szCs w:val="20"/>
      <w:lang w:val="en-ZA" w:eastAsia="en-ZA"/>
    </w:rPr>
  </w:style>
  <w:style w:type="paragraph" w:styleId="Header">
    <w:name w:val="header"/>
    <w:basedOn w:val="Normal"/>
    <w:link w:val="HeaderChar"/>
    <w:uiPriority w:val="99"/>
    <w:semiHidden/>
    <w:unhideWhenUsed/>
    <w:rsid w:val="00ED19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1999"/>
  </w:style>
  <w:style w:type="paragraph" w:styleId="Footer">
    <w:name w:val="footer"/>
    <w:basedOn w:val="Normal"/>
    <w:link w:val="FooterChar"/>
    <w:uiPriority w:val="99"/>
    <w:unhideWhenUsed/>
    <w:rsid w:val="00ED1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999"/>
  </w:style>
  <w:style w:type="character" w:styleId="CommentReference">
    <w:name w:val="annotation reference"/>
    <w:basedOn w:val="DefaultParagraphFont"/>
    <w:uiPriority w:val="99"/>
    <w:semiHidden/>
    <w:unhideWhenUsed/>
    <w:rsid w:val="00E24513"/>
    <w:rPr>
      <w:sz w:val="16"/>
      <w:szCs w:val="16"/>
    </w:rPr>
  </w:style>
  <w:style w:type="paragraph" w:styleId="CommentSubject">
    <w:name w:val="annotation subject"/>
    <w:basedOn w:val="CommentText"/>
    <w:next w:val="CommentText"/>
    <w:link w:val="CommentSubjectChar"/>
    <w:uiPriority w:val="99"/>
    <w:semiHidden/>
    <w:unhideWhenUsed/>
    <w:rsid w:val="00E24513"/>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E24513"/>
    <w:rPr>
      <w:rFonts w:ascii="Arial" w:eastAsia="Times New Roman" w:hAnsi="Arial" w:cs="Times New Roman"/>
      <w:b/>
      <w:bCs/>
      <w:sz w:val="20"/>
      <w:szCs w:val="20"/>
      <w:lang w:val="en-US"/>
    </w:rPr>
  </w:style>
  <w:style w:type="paragraph" w:styleId="Revision">
    <w:name w:val="Revision"/>
    <w:hidden/>
    <w:uiPriority w:val="99"/>
    <w:semiHidden/>
    <w:rsid w:val="000A59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apps.who.int/iris/bitstream/10665/249572/1/9789241549806-eng.pdf" TargetMode="External"/><Relationship Id="rId2" Type="http://schemas.openxmlformats.org/officeDocument/2006/relationships/hyperlink" Target="http://apps.who.int/iris/bitstream/10665/249572/1/9789241549806-eng.pdf" TargetMode="External"/><Relationship Id="rId1" Type="http://schemas.openxmlformats.org/officeDocument/2006/relationships/hyperlink" Target="https://www.cdc.gov/std/tg2015/" TargetMode="External"/><Relationship Id="rId4" Type="http://schemas.openxmlformats.org/officeDocument/2006/relationships/hyperlink" Target="http://apps.who.int/iris/bitstream/10665/249572/1/9789241549806-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4040-FECC-4B38-AAEB-C0B2ACF7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Trudy</cp:lastModifiedBy>
  <cp:revision>3</cp:revision>
  <dcterms:created xsi:type="dcterms:W3CDTF">2017-11-10T13:43:00Z</dcterms:created>
  <dcterms:modified xsi:type="dcterms:W3CDTF">2017-11-13T14:25:00Z</dcterms:modified>
</cp:coreProperties>
</file>