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3A" w:rsidRDefault="004E303A" w:rsidP="00D368E3">
      <w:pPr>
        <w:spacing w:after="0" w:line="240" w:lineRule="auto"/>
        <w:jc w:val="center"/>
        <w:rPr>
          <w:b/>
        </w:rPr>
      </w:pPr>
      <w:r>
        <w:rPr>
          <w:b/>
        </w:rPr>
        <w:t>PRIMARY HEALTHCARE LEVEL ESSENTIAL MEDICINES LIST</w:t>
      </w:r>
    </w:p>
    <w:p w:rsidR="004E303A" w:rsidRPr="009B5CC3" w:rsidRDefault="004E303A" w:rsidP="00D368E3">
      <w:pPr>
        <w:spacing w:after="0" w:line="240" w:lineRule="auto"/>
        <w:jc w:val="center"/>
        <w:rPr>
          <w:rFonts w:cstheme="minorHAnsi"/>
          <w:b/>
          <w:bCs/>
          <w:color w:val="000000"/>
        </w:rPr>
      </w:pPr>
      <w:r w:rsidRPr="001302CA">
        <w:rPr>
          <w:b/>
        </w:rPr>
        <w:t xml:space="preserve">CHAPTER </w:t>
      </w:r>
      <w:r>
        <w:rPr>
          <w:b/>
        </w:rPr>
        <w:t>22</w:t>
      </w:r>
      <w:r w:rsidRPr="001302CA">
        <w:rPr>
          <w:b/>
        </w:rPr>
        <w:t xml:space="preserve">: </w:t>
      </w:r>
      <w:r>
        <w:rPr>
          <w:b/>
        </w:rPr>
        <w:t>MEDICINES FOR PALLIATIVE CARE</w:t>
      </w:r>
    </w:p>
    <w:p w:rsidR="005C542D" w:rsidRPr="004E303A" w:rsidRDefault="007E2D1A" w:rsidP="00D368E3">
      <w:pPr>
        <w:pBdr>
          <w:bottom w:val="double" w:sz="4" w:space="1" w:color="auto"/>
        </w:pBdr>
        <w:spacing w:after="0" w:line="240" w:lineRule="auto"/>
        <w:jc w:val="center"/>
        <w:rPr>
          <w:rFonts w:cs="Arial"/>
          <w:b/>
        </w:rPr>
      </w:pPr>
      <w:r>
        <w:rPr>
          <w:rFonts w:cs="Arial"/>
          <w:b/>
        </w:rPr>
        <w:t xml:space="preserve">RECOMMENDATIONS FROM THE </w:t>
      </w:r>
      <w:r w:rsidR="004E303A">
        <w:rPr>
          <w:rFonts w:cs="Arial"/>
          <w:b/>
        </w:rPr>
        <w:t>NEMLC MEETING: 2 NOVEMBER 2017</w:t>
      </w:r>
    </w:p>
    <w:p w:rsidR="005118E2" w:rsidRDefault="005118E2" w:rsidP="00D368E3">
      <w:pPr>
        <w:autoSpaceDE w:val="0"/>
        <w:autoSpaceDN w:val="0"/>
        <w:adjustRightInd w:val="0"/>
        <w:spacing w:after="0" w:line="240" w:lineRule="auto"/>
        <w:jc w:val="both"/>
        <w:rPr>
          <w:rFonts w:cs="Calibri"/>
          <w:b/>
          <w:bCs/>
          <w:color w:val="000000"/>
        </w:rPr>
      </w:pPr>
      <w:r>
        <w:rPr>
          <w:rFonts w:cs="Calibri"/>
          <w:b/>
          <w:bCs/>
          <w:color w:val="000000"/>
        </w:rPr>
        <w:t>Background</w:t>
      </w:r>
    </w:p>
    <w:p w:rsidR="005118E2" w:rsidRDefault="00177DB8" w:rsidP="00D368E3">
      <w:pPr>
        <w:autoSpaceDE w:val="0"/>
        <w:autoSpaceDN w:val="0"/>
        <w:adjustRightInd w:val="0"/>
        <w:spacing w:after="0" w:line="240" w:lineRule="auto"/>
        <w:jc w:val="both"/>
        <w:rPr>
          <w:rFonts w:cs="Calibri"/>
          <w:bCs/>
          <w:color w:val="000000"/>
        </w:rPr>
      </w:pPr>
      <w:r>
        <w:rPr>
          <w:rFonts w:cs="Calibri"/>
          <w:bCs/>
          <w:color w:val="000000"/>
        </w:rPr>
        <w:t xml:space="preserve">NEMLC had previously recommended that chapters for palliative care be developed for PHC and Hospital level (adult and paediatric management) at the meeting of the 6 April 2017. </w:t>
      </w:r>
      <w:r>
        <w:t xml:space="preserve">NEMLC had "acknowledged the WHO position paper and the list of conditions recommended by the </w:t>
      </w:r>
      <w:r w:rsidRPr="003F31D8">
        <w:t>International Association for Hospice and Palliative Care (IAHPC)</w:t>
      </w:r>
      <w:r>
        <w:t xml:space="preserve"> requiring pharmacological management. Although the evidence base is limited, NEMLC would assess each motivation on evidence based medicine principles".</w:t>
      </w:r>
      <w:r>
        <w:rPr>
          <w:rStyle w:val="FootnoteReference"/>
        </w:rPr>
        <w:footnoteReference w:id="2"/>
      </w:r>
    </w:p>
    <w:p w:rsidR="00D368E3" w:rsidRDefault="00D368E3" w:rsidP="00D368E3">
      <w:pPr>
        <w:autoSpaceDE w:val="0"/>
        <w:autoSpaceDN w:val="0"/>
        <w:adjustRightInd w:val="0"/>
        <w:spacing w:after="0" w:line="240" w:lineRule="auto"/>
        <w:jc w:val="both"/>
        <w:rPr>
          <w:rFonts w:cs="Calibri"/>
          <w:b/>
          <w:bCs/>
          <w:color w:val="000000"/>
        </w:rPr>
      </w:pPr>
    </w:p>
    <w:p w:rsidR="006D0892" w:rsidRDefault="006D0892" w:rsidP="00D368E3">
      <w:pPr>
        <w:autoSpaceDE w:val="0"/>
        <w:autoSpaceDN w:val="0"/>
        <w:adjustRightInd w:val="0"/>
        <w:spacing w:after="0" w:line="240" w:lineRule="auto"/>
        <w:jc w:val="both"/>
        <w:rPr>
          <w:rFonts w:cs="Calibri"/>
          <w:b/>
          <w:bCs/>
          <w:color w:val="000000"/>
        </w:rPr>
      </w:pPr>
      <w:r w:rsidRPr="003F0FF1">
        <w:rPr>
          <w:rFonts w:cs="Calibri"/>
          <w:b/>
          <w:bCs/>
          <w:color w:val="000000"/>
        </w:rPr>
        <w:t>General</w:t>
      </w:r>
    </w:p>
    <w:p w:rsidR="003F0FF1" w:rsidRDefault="003F0FF1" w:rsidP="00D368E3">
      <w:pPr>
        <w:pStyle w:val="CommentText"/>
        <w:suppressAutoHyphens/>
        <w:overflowPunct w:val="0"/>
        <w:autoSpaceDE w:val="0"/>
        <w:textAlignment w:val="baseline"/>
        <w:rPr>
          <w:rFonts w:ascii="Calibri" w:hAnsi="Calibri" w:cs="Calibri"/>
          <w:sz w:val="22"/>
          <w:szCs w:val="22"/>
        </w:rPr>
      </w:pPr>
      <w:r w:rsidRPr="003F0FF1">
        <w:rPr>
          <w:rFonts w:ascii="Calibri" w:hAnsi="Calibri" w:cs="Calibri"/>
          <w:i/>
          <w:sz w:val="22"/>
          <w:szCs w:val="22"/>
        </w:rPr>
        <w:t>Objective:</w:t>
      </w:r>
      <w:r>
        <w:rPr>
          <w:rFonts w:ascii="Calibri" w:hAnsi="Calibri" w:cs="Calibri"/>
          <w:sz w:val="22"/>
          <w:szCs w:val="22"/>
        </w:rPr>
        <w:t xml:space="preserve"> The chapter essentially describes medicine treatment in palliative care, with referral to the </w:t>
      </w:r>
      <w:r w:rsidRPr="006D0892">
        <w:rPr>
          <w:rFonts w:ascii="Calibri" w:hAnsi="Calibri" w:cs="Calibri"/>
          <w:sz w:val="22"/>
          <w:szCs w:val="22"/>
        </w:rPr>
        <w:t>Nationa</w:t>
      </w:r>
      <w:r>
        <w:rPr>
          <w:rFonts w:ascii="Calibri" w:hAnsi="Calibri" w:cs="Calibri"/>
          <w:sz w:val="22"/>
          <w:szCs w:val="22"/>
        </w:rPr>
        <w:t>l Guidelines on Palliative Care for guidance on management of the palliative care patient.</w:t>
      </w:r>
    </w:p>
    <w:p w:rsidR="003F0FF1" w:rsidRPr="003F0FF1" w:rsidRDefault="003F0FF1" w:rsidP="00D368E3">
      <w:pPr>
        <w:autoSpaceDE w:val="0"/>
        <w:autoSpaceDN w:val="0"/>
        <w:adjustRightInd w:val="0"/>
        <w:spacing w:after="0" w:line="240" w:lineRule="auto"/>
        <w:jc w:val="both"/>
        <w:rPr>
          <w:rFonts w:cs="Calibri"/>
          <w:b/>
          <w:bCs/>
          <w:color w:val="000000"/>
        </w:rPr>
      </w:pPr>
      <w:r w:rsidRPr="003F0FF1">
        <w:rPr>
          <w:rFonts w:ascii="Calibri" w:hAnsi="Calibri" w:cs="Calibri"/>
          <w:i/>
        </w:rPr>
        <w:t>Preamble</w:t>
      </w:r>
      <w:r>
        <w:rPr>
          <w:rFonts w:ascii="Calibri" w:hAnsi="Calibri" w:cs="Calibri"/>
        </w:rPr>
        <w:t xml:space="preserve"> to the chapter describes a few general principles of palliative care and states that </w:t>
      </w:r>
      <w:r w:rsidRPr="004507C5">
        <w:rPr>
          <w:rFonts w:cstheme="minorHAnsi"/>
          <w:bCs/>
        </w:rPr>
        <w:t>where down-referral management is required that the patient be down-referred with a care plan</w:t>
      </w:r>
      <w:r>
        <w:rPr>
          <w:rFonts w:cstheme="minorHAnsi"/>
          <w:bCs/>
        </w:rPr>
        <w:t>.</w:t>
      </w:r>
    </w:p>
    <w:p w:rsidR="008A540C" w:rsidRPr="004507C5" w:rsidRDefault="008A540C" w:rsidP="00D368E3">
      <w:pPr>
        <w:pStyle w:val="ListParagraph"/>
        <w:autoSpaceDE w:val="0"/>
        <w:autoSpaceDN w:val="0"/>
        <w:adjustRightInd w:val="0"/>
        <w:ind w:left="0"/>
        <w:jc w:val="both"/>
        <w:rPr>
          <w:rFonts w:asciiTheme="minorHAnsi" w:hAnsiTheme="minorHAnsi" w:cstheme="minorHAnsi"/>
          <w:bCs/>
          <w:sz w:val="22"/>
          <w:szCs w:val="22"/>
        </w:rPr>
      </w:pPr>
      <w:r w:rsidRPr="004507C5">
        <w:rPr>
          <w:rFonts w:asciiTheme="minorHAnsi" w:hAnsiTheme="minorHAnsi" w:cstheme="minorHAnsi"/>
          <w:bCs/>
          <w:i/>
          <w:sz w:val="22"/>
          <w:szCs w:val="22"/>
        </w:rPr>
        <w:t xml:space="preserve">Palliative care delivery model: </w:t>
      </w:r>
      <w:r w:rsidRPr="004507C5">
        <w:rPr>
          <w:rFonts w:asciiTheme="minorHAnsi" w:hAnsiTheme="minorHAnsi" w:cstheme="minorHAnsi"/>
          <w:bCs/>
          <w:sz w:val="22"/>
          <w:szCs w:val="22"/>
        </w:rPr>
        <w:t xml:space="preserve">Some palliative care conditions (e.g. diarrhoea, nausea and vomiting) could be managed at </w:t>
      </w:r>
      <w:r w:rsidR="003F0FF1">
        <w:rPr>
          <w:rFonts w:asciiTheme="minorHAnsi" w:hAnsiTheme="minorHAnsi" w:cstheme="minorHAnsi"/>
          <w:bCs/>
          <w:sz w:val="22"/>
          <w:szCs w:val="22"/>
        </w:rPr>
        <w:t>primary</w:t>
      </w:r>
      <w:r w:rsidRPr="004507C5">
        <w:rPr>
          <w:rFonts w:asciiTheme="minorHAnsi" w:hAnsiTheme="minorHAnsi" w:cstheme="minorHAnsi"/>
          <w:bCs/>
          <w:sz w:val="22"/>
          <w:szCs w:val="22"/>
        </w:rPr>
        <w:t xml:space="preserve"> level</w:t>
      </w:r>
      <w:r w:rsidR="003F0FF1">
        <w:rPr>
          <w:rFonts w:asciiTheme="minorHAnsi" w:hAnsiTheme="minorHAnsi" w:cstheme="minorHAnsi"/>
          <w:bCs/>
          <w:sz w:val="22"/>
          <w:szCs w:val="22"/>
        </w:rPr>
        <w:t xml:space="preserve"> of care</w:t>
      </w:r>
      <w:r w:rsidRPr="004507C5">
        <w:rPr>
          <w:rFonts w:asciiTheme="minorHAnsi" w:hAnsiTheme="minorHAnsi" w:cstheme="minorHAnsi"/>
          <w:bCs/>
          <w:sz w:val="22"/>
          <w:szCs w:val="22"/>
        </w:rPr>
        <w:t xml:space="preserve">. However, conditions such as respiratory secretions, anorexia, fatigue etc. are short-term conditions for terminally ill patient populations that are </w:t>
      </w:r>
      <w:r>
        <w:rPr>
          <w:rFonts w:asciiTheme="minorHAnsi" w:hAnsiTheme="minorHAnsi" w:cstheme="minorHAnsi"/>
          <w:bCs/>
          <w:sz w:val="22"/>
          <w:szCs w:val="22"/>
        </w:rPr>
        <w:t>best managed by specially trained palliative care teams</w:t>
      </w:r>
      <w:r w:rsidR="00502924">
        <w:rPr>
          <w:rFonts w:asciiTheme="minorHAnsi" w:hAnsiTheme="minorHAnsi" w:cstheme="minorHAnsi"/>
          <w:bCs/>
          <w:sz w:val="22"/>
          <w:szCs w:val="22"/>
        </w:rPr>
        <w:t>.</w:t>
      </w:r>
      <w:r>
        <w:rPr>
          <w:rFonts w:asciiTheme="minorHAnsi" w:hAnsiTheme="minorHAnsi" w:cstheme="minorHAnsi"/>
          <w:bCs/>
          <w:sz w:val="22"/>
          <w:szCs w:val="22"/>
        </w:rPr>
        <w:t>The benefits of treatment for anorexia for example are likely to be minimal and short-lived, with a high potential for adverse effects – patients must be carefully selected for treatment; for many/most patients, pharmacological intervention is inappropriate</w:t>
      </w:r>
      <w:r w:rsidRPr="004507C5">
        <w:rPr>
          <w:rFonts w:asciiTheme="minorHAnsi" w:hAnsiTheme="minorHAnsi" w:cstheme="minorHAnsi"/>
          <w:bCs/>
          <w:sz w:val="22"/>
          <w:szCs w:val="22"/>
        </w:rPr>
        <w:t>.</w:t>
      </w:r>
      <w:r>
        <w:rPr>
          <w:rFonts w:asciiTheme="minorHAnsi" w:hAnsiTheme="minorHAnsi" w:cstheme="minorHAnsi"/>
          <w:bCs/>
          <w:sz w:val="22"/>
          <w:szCs w:val="22"/>
        </w:rPr>
        <w:t xml:space="preserve">So the </w:t>
      </w:r>
      <w:r w:rsidR="003F0FF1">
        <w:rPr>
          <w:rFonts w:asciiTheme="minorHAnsi" w:hAnsiTheme="minorHAnsi" w:cstheme="minorHAnsi"/>
          <w:bCs/>
          <w:sz w:val="22"/>
          <w:szCs w:val="22"/>
        </w:rPr>
        <w:t xml:space="preserve">Primary Health Care (PHC) </w:t>
      </w:r>
      <w:r>
        <w:rPr>
          <w:rFonts w:asciiTheme="minorHAnsi" w:hAnsiTheme="minorHAnsi" w:cstheme="minorHAnsi"/>
          <w:bCs/>
          <w:sz w:val="22"/>
          <w:szCs w:val="22"/>
        </w:rPr>
        <w:t xml:space="preserve">Committee was of the opinion that these patients should not be managed at all PHC facilities, and rather managed via down-referral mechanisms for the time being. </w:t>
      </w:r>
      <w:r w:rsidRPr="004507C5">
        <w:rPr>
          <w:rFonts w:asciiTheme="minorHAnsi" w:hAnsiTheme="minorHAnsi" w:cstheme="minorHAnsi"/>
          <w:bCs/>
          <w:sz w:val="22"/>
          <w:szCs w:val="22"/>
        </w:rPr>
        <w:t xml:space="preserve">As per the National Strategic Plan, palliative care healthcare workers are still to be trained and the infrastructure for delivery of palliative care is still to be developed.  </w:t>
      </w:r>
    </w:p>
    <w:p w:rsidR="008A540C" w:rsidRPr="004507C5" w:rsidRDefault="008A540C" w:rsidP="00D368E3">
      <w:pPr>
        <w:pStyle w:val="ListParagraph"/>
        <w:autoSpaceDE w:val="0"/>
        <w:autoSpaceDN w:val="0"/>
        <w:adjustRightInd w:val="0"/>
        <w:ind w:left="0"/>
        <w:jc w:val="both"/>
        <w:rPr>
          <w:rFonts w:asciiTheme="minorHAnsi" w:hAnsiTheme="minorHAnsi" w:cstheme="minorHAnsi"/>
          <w:b/>
          <w:bCs/>
          <w:sz w:val="22"/>
          <w:szCs w:val="22"/>
        </w:rPr>
      </w:pPr>
      <w:r w:rsidRPr="004507C5">
        <w:rPr>
          <w:rFonts w:asciiTheme="minorHAnsi" w:hAnsiTheme="minorHAnsi" w:cstheme="minorHAnsi"/>
          <w:b/>
          <w:bCs/>
          <w:sz w:val="22"/>
          <w:szCs w:val="22"/>
        </w:rPr>
        <w:t>Recommendations:</w:t>
      </w:r>
    </w:p>
    <w:p w:rsidR="008A540C" w:rsidRDefault="008A540C" w:rsidP="00D368E3">
      <w:pPr>
        <w:pStyle w:val="ListParagraph"/>
        <w:numPr>
          <w:ilvl w:val="0"/>
          <w:numId w:val="17"/>
        </w:numPr>
        <w:autoSpaceDE w:val="0"/>
        <w:autoSpaceDN w:val="0"/>
        <w:adjustRightInd w:val="0"/>
        <w:jc w:val="both"/>
        <w:rPr>
          <w:rFonts w:asciiTheme="minorHAnsi" w:hAnsiTheme="minorHAnsi" w:cstheme="minorHAnsi"/>
          <w:bCs/>
          <w:sz w:val="22"/>
          <w:szCs w:val="22"/>
        </w:rPr>
      </w:pPr>
      <w:r w:rsidRPr="004507C5">
        <w:rPr>
          <w:rFonts w:asciiTheme="minorHAnsi" w:hAnsiTheme="minorHAnsi" w:cstheme="minorHAnsi"/>
          <w:bCs/>
          <w:sz w:val="22"/>
          <w:szCs w:val="22"/>
        </w:rPr>
        <w:t xml:space="preserve">Palliative care STGs for end of life settings (i.e. </w:t>
      </w:r>
      <w:r w:rsidR="003F0FF1">
        <w:rPr>
          <w:rFonts w:asciiTheme="minorHAnsi" w:hAnsiTheme="minorHAnsi" w:cstheme="minorHAnsi"/>
          <w:bCs/>
          <w:sz w:val="22"/>
          <w:szCs w:val="22"/>
        </w:rPr>
        <w:t>a</w:t>
      </w:r>
      <w:r w:rsidRPr="004507C5">
        <w:rPr>
          <w:rFonts w:asciiTheme="minorHAnsi" w:hAnsiTheme="minorHAnsi" w:cstheme="minorHAnsi"/>
          <w:bCs/>
          <w:sz w:val="22"/>
          <w:szCs w:val="22"/>
        </w:rPr>
        <w:t xml:space="preserve">norexia and cachexia; fatigue and respiratory secretions) not be </w:t>
      </w:r>
      <w:r w:rsidR="003F0FF1">
        <w:rPr>
          <w:rFonts w:asciiTheme="minorHAnsi" w:hAnsiTheme="minorHAnsi" w:cstheme="minorHAnsi"/>
          <w:bCs/>
          <w:sz w:val="22"/>
          <w:szCs w:val="22"/>
        </w:rPr>
        <w:t>included</w:t>
      </w:r>
      <w:r w:rsidRPr="004507C5">
        <w:rPr>
          <w:rFonts w:asciiTheme="minorHAnsi" w:hAnsiTheme="minorHAnsi" w:cstheme="minorHAnsi"/>
          <w:bCs/>
          <w:sz w:val="22"/>
          <w:szCs w:val="22"/>
        </w:rPr>
        <w:t xml:space="preserve"> in the PHC palliative care chapter, but </w:t>
      </w:r>
      <w:r w:rsidR="00DE5C78" w:rsidRPr="004507C5">
        <w:rPr>
          <w:rFonts w:asciiTheme="minorHAnsi" w:hAnsiTheme="minorHAnsi" w:cstheme="minorHAnsi"/>
          <w:bCs/>
          <w:sz w:val="22"/>
          <w:szCs w:val="22"/>
        </w:rPr>
        <w:t>refer</w:t>
      </w:r>
      <w:r w:rsidR="00DE5C78">
        <w:rPr>
          <w:rFonts w:asciiTheme="minorHAnsi" w:hAnsiTheme="minorHAnsi" w:cstheme="minorHAnsi"/>
          <w:bCs/>
          <w:sz w:val="22"/>
          <w:szCs w:val="22"/>
        </w:rPr>
        <w:t xml:space="preserve">red to secondary level of care(with guidance described in the respective </w:t>
      </w:r>
      <w:r w:rsidRPr="004507C5">
        <w:rPr>
          <w:rFonts w:asciiTheme="minorHAnsi" w:hAnsiTheme="minorHAnsi" w:cstheme="minorHAnsi"/>
          <w:bCs/>
          <w:sz w:val="22"/>
          <w:szCs w:val="22"/>
        </w:rPr>
        <w:t>Adult Hospital STGs</w:t>
      </w:r>
      <w:r w:rsidR="00DE5C78">
        <w:rPr>
          <w:rFonts w:asciiTheme="minorHAnsi" w:hAnsiTheme="minorHAnsi" w:cstheme="minorHAnsi"/>
          <w:bCs/>
          <w:sz w:val="22"/>
          <w:szCs w:val="22"/>
        </w:rPr>
        <w:t>)</w:t>
      </w:r>
    </w:p>
    <w:p w:rsidR="006D0892" w:rsidRPr="003F0FF1" w:rsidRDefault="008A540C" w:rsidP="00D368E3">
      <w:pPr>
        <w:pStyle w:val="ListParagraph"/>
        <w:numPr>
          <w:ilvl w:val="0"/>
          <w:numId w:val="17"/>
        </w:numPr>
        <w:autoSpaceDE w:val="0"/>
        <w:autoSpaceDN w:val="0"/>
        <w:adjustRightInd w:val="0"/>
        <w:jc w:val="both"/>
        <w:rPr>
          <w:rFonts w:asciiTheme="minorHAnsi" w:hAnsiTheme="minorHAnsi" w:cstheme="minorHAnsi"/>
          <w:bCs/>
          <w:sz w:val="22"/>
          <w:szCs w:val="22"/>
        </w:rPr>
      </w:pPr>
      <w:r w:rsidRPr="004507C5">
        <w:rPr>
          <w:rFonts w:asciiTheme="minorHAnsi" w:hAnsiTheme="minorHAnsi" w:cstheme="minorHAnsi"/>
          <w:bCs/>
          <w:sz w:val="22"/>
          <w:szCs w:val="22"/>
        </w:rPr>
        <w:t>Text be included in the foreword of this chapter regarding down-referral processes with care plans and management by trained palliative care teams where appropriate and if available.</w:t>
      </w:r>
    </w:p>
    <w:p w:rsidR="008A540C" w:rsidRDefault="008A540C" w:rsidP="00D368E3">
      <w:pPr>
        <w:pStyle w:val="ListParagraph"/>
        <w:autoSpaceDE w:val="0"/>
        <w:autoSpaceDN w:val="0"/>
        <w:adjustRightInd w:val="0"/>
        <w:ind w:left="0"/>
        <w:jc w:val="both"/>
        <w:rPr>
          <w:rFonts w:asciiTheme="minorHAnsi" w:hAnsiTheme="minorHAnsi" w:cstheme="minorHAnsi"/>
          <w:bCs/>
          <w:sz w:val="22"/>
          <w:szCs w:val="22"/>
        </w:rPr>
      </w:pPr>
    </w:p>
    <w:p w:rsidR="005118E2" w:rsidRDefault="005118E2" w:rsidP="00D368E3">
      <w:pPr>
        <w:pStyle w:val="ListParagraph"/>
        <w:autoSpaceDE w:val="0"/>
        <w:autoSpaceDN w:val="0"/>
        <w:adjustRightInd w:val="0"/>
        <w:ind w:left="0"/>
        <w:jc w:val="both"/>
        <w:rPr>
          <w:rFonts w:asciiTheme="minorHAnsi" w:hAnsiTheme="minorHAnsi" w:cstheme="minorHAnsi"/>
          <w:bCs/>
          <w:sz w:val="22"/>
          <w:szCs w:val="22"/>
        </w:rPr>
      </w:pPr>
      <w:r>
        <w:rPr>
          <w:rFonts w:asciiTheme="minorHAnsi" w:hAnsiTheme="minorHAnsi" w:cstheme="minorHAnsi"/>
          <w:bCs/>
          <w:sz w:val="22"/>
          <w:szCs w:val="22"/>
        </w:rPr>
        <w:t>Chapter layout:</w:t>
      </w:r>
    </w:p>
    <w:tbl>
      <w:tblPr>
        <w:tblStyle w:val="TableGrid"/>
        <w:tblW w:w="0" w:type="auto"/>
        <w:tblLook w:val="04A0"/>
      </w:tblPr>
      <w:tblGrid>
        <w:gridCol w:w="9242"/>
      </w:tblGrid>
      <w:tr w:rsidR="005118E2" w:rsidTr="005118E2">
        <w:tc>
          <w:tcPr>
            <w:tcW w:w="9242" w:type="dxa"/>
          </w:tcPr>
          <w:p w:rsidR="005118E2" w:rsidRPr="005118E2" w:rsidRDefault="005118E2" w:rsidP="00D368E3">
            <w:pPr>
              <w:pStyle w:val="ListParagraph"/>
              <w:autoSpaceDE w:val="0"/>
              <w:autoSpaceDN w:val="0"/>
              <w:adjustRightInd w:val="0"/>
              <w:ind w:left="0"/>
              <w:jc w:val="both"/>
              <w:rPr>
                <w:rFonts w:asciiTheme="minorHAnsi" w:hAnsiTheme="minorHAnsi" w:cstheme="minorHAnsi"/>
                <w:bCs/>
                <w:sz w:val="22"/>
                <w:szCs w:val="22"/>
              </w:rPr>
            </w:pPr>
            <w:r w:rsidRPr="005118E2">
              <w:rPr>
                <w:rFonts w:asciiTheme="minorHAnsi" w:hAnsiTheme="minorHAnsi" w:cstheme="minorHAnsi"/>
                <w:bCs/>
                <w:sz w:val="22"/>
                <w:szCs w:val="22"/>
              </w:rPr>
              <w:t>22.1 Gastrointestinal conditions</w:t>
            </w:r>
          </w:p>
          <w:p w:rsidR="005118E2" w:rsidRPr="005118E2" w:rsidRDefault="005118E2" w:rsidP="00D368E3">
            <w:pPr>
              <w:pStyle w:val="ListParagraph"/>
              <w:autoSpaceDE w:val="0"/>
              <w:autoSpaceDN w:val="0"/>
              <w:adjustRightInd w:val="0"/>
              <w:jc w:val="both"/>
              <w:rPr>
                <w:rFonts w:asciiTheme="minorHAnsi" w:hAnsiTheme="minorHAnsi" w:cstheme="minorHAnsi"/>
                <w:bCs/>
                <w:sz w:val="22"/>
                <w:szCs w:val="22"/>
              </w:rPr>
            </w:pPr>
            <w:r w:rsidRPr="005118E2">
              <w:rPr>
                <w:rFonts w:asciiTheme="minorHAnsi" w:hAnsiTheme="minorHAnsi" w:cstheme="minorHAnsi"/>
                <w:bCs/>
                <w:sz w:val="22"/>
                <w:szCs w:val="22"/>
              </w:rPr>
              <w:t>22.1.1 Constipation</w:t>
            </w:r>
          </w:p>
          <w:p w:rsidR="005118E2" w:rsidRPr="005118E2" w:rsidRDefault="005118E2" w:rsidP="00D368E3">
            <w:pPr>
              <w:pStyle w:val="ListParagraph"/>
              <w:autoSpaceDE w:val="0"/>
              <w:autoSpaceDN w:val="0"/>
              <w:adjustRightInd w:val="0"/>
              <w:jc w:val="both"/>
              <w:rPr>
                <w:rFonts w:asciiTheme="minorHAnsi" w:hAnsiTheme="minorHAnsi" w:cstheme="minorHAnsi"/>
                <w:bCs/>
                <w:sz w:val="22"/>
                <w:szCs w:val="22"/>
              </w:rPr>
            </w:pPr>
            <w:r w:rsidRPr="005118E2">
              <w:rPr>
                <w:rFonts w:asciiTheme="minorHAnsi" w:hAnsiTheme="minorHAnsi" w:cstheme="minorHAnsi"/>
                <w:bCs/>
                <w:sz w:val="22"/>
                <w:szCs w:val="22"/>
              </w:rPr>
              <w:t>22.1.2 Diarrhoea</w:t>
            </w:r>
          </w:p>
          <w:p w:rsidR="005118E2" w:rsidRPr="005118E2" w:rsidRDefault="005118E2" w:rsidP="00D368E3">
            <w:pPr>
              <w:pStyle w:val="ListParagraph"/>
              <w:autoSpaceDE w:val="0"/>
              <w:autoSpaceDN w:val="0"/>
              <w:adjustRightInd w:val="0"/>
              <w:jc w:val="both"/>
              <w:rPr>
                <w:rFonts w:asciiTheme="minorHAnsi" w:hAnsiTheme="minorHAnsi" w:cstheme="minorHAnsi"/>
                <w:bCs/>
                <w:sz w:val="22"/>
                <w:szCs w:val="22"/>
              </w:rPr>
            </w:pPr>
            <w:r w:rsidRPr="005118E2">
              <w:rPr>
                <w:rFonts w:asciiTheme="minorHAnsi" w:hAnsiTheme="minorHAnsi" w:cstheme="minorHAnsi"/>
                <w:bCs/>
                <w:sz w:val="22"/>
                <w:szCs w:val="22"/>
              </w:rPr>
              <w:t>22.1.3 Nausea and vomiting</w:t>
            </w:r>
          </w:p>
          <w:p w:rsidR="005118E2" w:rsidRPr="005118E2" w:rsidRDefault="005118E2" w:rsidP="00D368E3">
            <w:pPr>
              <w:pStyle w:val="ListParagraph"/>
              <w:autoSpaceDE w:val="0"/>
              <w:autoSpaceDN w:val="0"/>
              <w:adjustRightInd w:val="0"/>
              <w:ind w:left="0"/>
              <w:jc w:val="both"/>
              <w:rPr>
                <w:rFonts w:asciiTheme="minorHAnsi" w:hAnsiTheme="minorHAnsi" w:cstheme="minorHAnsi"/>
                <w:bCs/>
                <w:sz w:val="22"/>
                <w:szCs w:val="22"/>
              </w:rPr>
            </w:pPr>
            <w:r w:rsidRPr="005118E2">
              <w:rPr>
                <w:rFonts w:asciiTheme="minorHAnsi" w:hAnsiTheme="minorHAnsi" w:cstheme="minorHAnsi"/>
                <w:bCs/>
                <w:sz w:val="22"/>
                <w:szCs w:val="22"/>
              </w:rPr>
              <w:t>22.2 Neuropsychiatric conditions</w:t>
            </w:r>
          </w:p>
          <w:p w:rsidR="005118E2" w:rsidRPr="005118E2" w:rsidRDefault="005118E2" w:rsidP="00D368E3">
            <w:pPr>
              <w:pStyle w:val="ListParagraph"/>
              <w:autoSpaceDE w:val="0"/>
              <w:autoSpaceDN w:val="0"/>
              <w:adjustRightInd w:val="0"/>
              <w:jc w:val="both"/>
              <w:rPr>
                <w:rFonts w:asciiTheme="minorHAnsi" w:hAnsiTheme="minorHAnsi" w:cstheme="minorHAnsi"/>
                <w:bCs/>
                <w:sz w:val="22"/>
                <w:szCs w:val="22"/>
              </w:rPr>
            </w:pPr>
            <w:r w:rsidRPr="005118E2">
              <w:rPr>
                <w:rFonts w:asciiTheme="minorHAnsi" w:hAnsiTheme="minorHAnsi" w:cstheme="minorHAnsi"/>
                <w:bCs/>
                <w:sz w:val="22"/>
                <w:szCs w:val="22"/>
              </w:rPr>
              <w:t>22.2.1 Anxiety</w:t>
            </w:r>
          </w:p>
          <w:p w:rsidR="005118E2" w:rsidRPr="005118E2" w:rsidRDefault="005118E2" w:rsidP="00D368E3">
            <w:pPr>
              <w:pStyle w:val="ListParagraph"/>
              <w:autoSpaceDE w:val="0"/>
              <w:autoSpaceDN w:val="0"/>
              <w:adjustRightInd w:val="0"/>
              <w:jc w:val="both"/>
              <w:rPr>
                <w:rFonts w:asciiTheme="minorHAnsi" w:hAnsiTheme="minorHAnsi" w:cstheme="minorHAnsi"/>
                <w:bCs/>
                <w:sz w:val="22"/>
                <w:szCs w:val="22"/>
              </w:rPr>
            </w:pPr>
            <w:r w:rsidRPr="005118E2">
              <w:rPr>
                <w:rFonts w:asciiTheme="minorHAnsi" w:hAnsiTheme="minorHAnsi" w:cstheme="minorHAnsi"/>
                <w:bCs/>
                <w:sz w:val="22"/>
                <w:szCs w:val="22"/>
              </w:rPr>
              <w:t>22.2.2 Delirium</w:t>
            </w:r>
          </w:p>
          <w:p w:rsidR="005118E2" w:rsidRPr="005118E2" w:rsidRDefault="005118E2" w:rsidP="00D368E3">
            <w:pPr>
              <w:pStyle w:val="ListParagraph"/>
              <w:autoSpaceDE w:val="0"/>
              <w:autoSpaceDN w:val="0"/>
              <w:adjustRightInd w:val="0"/>
              <w:jc w:val="both"/>
              <w:rPr>
                <w:rFonts w:asciiTheme="minorHAnsi" w:hAnsiTheme="minorHAnsi" w:cstheme="minorHAnsi"/>
                <w:bCs/>
                <w:sz w:val="22"/>
                <w:szCs w:val="22"/>
              </w:rPr>
            </w:pPr>
            <w:r w:rsidRPr="005118E2">
              <w:rPr>
                <w:rFonts w:asciiTheme="minorHAnsi" w:hAnsiTheme="minorHAnsi" w:cstheme="minorHAnsi"/>
                <w:bCs/>
                <w:sz w:val="22"/>
                <w:szCs w:val="22"/>
              </w:rPr>
              <w:t>22.2.3 Depression</w:t>
            </w:r>
          </w:p>
          <w:p w:rsidR="005118E2" w:rsidRPr="005118E2" w:rsidRDefault="005118E2" w:rsidP="00D368E3">
            <w:pPr>
              <w:pStyle w:val="ListParagraph"/>
              <w:autoSpaceDE w:val="0"/>
              <w:autoSpaceDN w:val="0"/>
              <w:adjustRightInd w:val="0"/>
              <w:ind w:left="0"/>
              <w:jc w:val="both"/>
              <w:rPr>
                <w:rFonts w:asciiTheme="minorHAnsi" w:hAnsiTheme="minorHAnsi" w:cstheme="minorHAnsi"/>
                <w:bCs/>
                <w:sz w:val="22"/>
                <w:szCs w:val="22"/>
              </w:rPr>
            </w:pPr>
            <w:r w:rsidRPr="005118E2">
              <w:rPr>
                <w:rFonts w:asciiTheme="minorHAnsi" w:hAnsiTheme="minorHAnsi" w:cstheme="minorHAnsi"/>
                <w:bCs/>
                <w:sz w:val="22"/>
                <w:szCs w:val="22"/>
              </w:rPr>
              <w:t>22.3 Respiratory conditions</w:t>
            </w:r>
          </w:p>
          <w:p w:rsidR="005118E2" w:rsidRPr="005118E2" w:rsidRDefault="005118E2" w:rsidP="00D368E3">
            <w:pPr>
              <w:pStyle w:val="ListParagraph"/>
              <w:autoSpaceDE w:val="0"/>
              <w:autoSpaceDN w:val="0"/>
              <w:adjustRightInd w:val="0"/>
              <w:jc w:val="both"/>
              <w:rPr>
                <w:rFonts w:asciiTheme="minorHAnsi" w:hAnsiTheme="minorHAnsi" w:cstheme="minorHAnsi"/>
                <w:bCs/>
                <w:sz w:val="22"/>
                <w:szCs w:val="22"/>
              </w:rPr>
            </w:pPr>
            <w:r w:rsidRPr="005118E2">
              <w:rPr>
                <w:rFonts w:asciiTheme="minorHAnsi" w:hAnsiTheme="minorHAnsi" w:cstheme="minorHAnsi"/>
                <w:bCs/>
                <w:sz w:val="22"/>
                <w:szCs w:val="22"/>
              </w:rPr>
              <w:t>22.3</w:t>
            </w:r>
            <w:r w:rsidR="00877A43">
              <w:rPr>
                <w:rFonts w:asciiTheme="minorHAnsi" w:hAnsiTheme="minorHAnsi" w:cstheme="minorHAnsi"/>
                <w:bCs/>
                <w:sz w:val="22"/>
                <w:szCs w:val="22"/>
              </w:rPr>
              <w:t>.</w:t>
            </w:r>
            <w:r w:rsidRPr="005118E2">
              <w:rPr>
                <w:rFonts w:asciiTheme="minorHAnsi" w:hAnsiTheme="minorHAnsi" w:cstheme="minorHAnsi"/>
                <w:bCs/>
                <w:sz w:val="22"/>
                <w:szCs w:val="22"/>
              </w:rPr>
              <w:t>1 Dyspnoea</w:t>
            </w:r>
          </w:p>
          <w:p w:rsidR="005118E2" w:rsidRDefault="005118E2" w:rsidP="00D368E3">
            <w:pPr>
              <w:pStyle w:val="ListParagraph"/>
              <w:autoSpaceDE w:val="0"/>
              <w:autoSpaceDN w:val="0"/>
              <w:adjustRightInd w:val="0"/>
              <w:ind w:left="0"/>
              <w:jc w:val="both"/>
              <w:rPr>
                <w:rFonts w:asciiTheme="minorHAnsi" w:hAnsiTheme="minorHAnsi" w:cstheme="minorHAnsi"/>
                <w:bCs/>
                <w:sz w:val="22"/>
                <w:szCs w:val="22"/>
              </w:rPr>
            </w:pPr>
            <w:r w:rsidRPr="005118E2">
              <w:rPr>
                <w:rFonts w:asciiTheme="minorHAnsi" w:hAnsiTheme="minorHAnsi" w:cstheme="minorHAnsi"/>
                <w:bCs/>
                <w:sz w:val="22"/>
                <w:szCs w:val="22"/>
              </w:rPr>
              <w:t>22.4 End of life care</w:t>
            </w:r>
          </w:p>
        </w:tc>
      </w:tr>
    </w:tbl>
    <w:p w:rsidR="005118E2" w:rsidRDefault="005118E2" w:rsidP="00D368E3">
      <w:pPr>
        <w:pStyle w:val="ListParagraph"/>
        <w:autoSpaceDE w:val="0"/>
        <w:autoSpaceDN w:val="0"/>
        <w:adjustRightInd w:val="0"/>
        <w:ind w:left="0"/>
        <w:jc w:val="both"/>
        <w:rPr>
          <w:rFonts w:asciiTheme="minorHAnsi" w:hAnsiTheme="minorHAnsi" w:cstheme="minorHAnsi"/>
          <w:bCs/>
          <w:sz w:val="22"/>
          <w:szCs w:val="22"/>
        </w:rPr>
      </w:pPr>
    </w:p>
    <w:p w:rsidR="00177DB8" w:rsidRDefault="00177DB8" w:rsidP="00D368E3">
      <w:pPr>
        <w:pStyle w:val="ListParagraph"/>
        <w:autoSpaceDE w:val="0"/>
        <w:autoSpaceDN w:val="0"/>
        <w:adjustRightInd w:val="0"/>
        <w:ind w:left="0"/>
        <w:jc w:val="both"/>
        <w:rPr>
          <w:rFonts w:asciiTheme="minorHAnsi" w:hAnsiTheme="minorHAnsi" w:cstheme="minorHAnsi"/>
          <w:bCs/>
          <w:sz w:val="22"/>
          <w:szCs w:val="22"/>
        </w:rPr>
      </w:pPr>
    </w:p>
    <w:p w:rsidR="00177DB8" w:rsidRDefault="00177DB8" w:rsidP="00D368E3">
      <w:pPr>
        <w:pStyle w:val="ListParagraph"/>
        <w:autoSpaceDE w:val="0"/>
        <w:autoSpaceDN w:val="0"/>
        <w:adjustRightInd w:val="0"/>
        <w:ind w:left="0"/>
        <w:jc w:val="both"/>
        <w:rPr>
          <w:rFonts w:asciiTheme="minorHAnsi" w:hAnsiTheme="minorHAnsi" w:cstheme="minorHAnsi"/>
          <w:bCs/>
          <w:sz w:val="22"/>
          <w:szCs w:val="22"/>
        </w:rPr>
      </w:pPr>
    </w:p>
    <w:p w:rsidR="004E303A" w:rsidRPr="00554428" w:rsidRDefault="004E303A" w:rsidP="00D368E3">
      <w:pPr>
        <w:spacing w:after="0" w:line="240" w:lineRule="auto"/>
        <w:jc w:val="both"/>
        <w:rPr>
          <w:rFonts w:cstheme="minorHAnsi"/>
          <w:b/>
        </w:rPr>
      </w:pPr>
      <w:r w:rsidRPr="00554428">
        <w:rPr>
          <w:rFonts w:cstheme="minorHAnsi"/>
          <w:b/>
        </w:rPr>
        <w:lastRenderedPageBreak/>
        <w:t>A: NEW SECTIONS(S</w:t>
      </w:r>
      <w:r>
        <w:rPr>
          <w:rFonts w:cstheme="minorHAnsi"/>
          <w:b/>
        </w:rPr>
        <w:t>)</w:t>
      </w:r>
    </w:p>
    <w:tbl>
      <w:tblPr>
        <w:tblStyle w:val="TableGrid"/>
        <w:tblW w:w="5000" w:type="pct"/>
        <w:tblLook w:val="04A0"/>
      </w:tblPr>
      <w:tblGrid>
        <w:gridCol w:w="864"/>
        <w:gridCol w:w="2094"/>
        <w:gridCol w:w="3948"/>
        <w:gridCol w:w="2336"/>
      </w:tblGrid>
      <w:tr w:rsidR="004E303A" w:rsidRPr="00BD047C" w:rsidTr="00BD047C">
        <w:tc>
          <w:tcPr>
            <w:tcW w:w="467" w:type="pct"/>
            <w:shd w:val="clear" w:color="auto" w:fill="DDD9C3" w:themeFill="background2" w:themeFillShade="E6"/>
          </w:tcPr>
          <w:p w:rsidR="004E303A" w:rsidRPr="00BD047C" w:rsidRDefault="004E303A" w:rsidP="00D368E3">
            <w:pPr>
              <w:jc w:val="both"/>
              <w:rPr>
                <w:rFonts w:asciiTheme="minorHAnsi" w:hAnsiTheme="minorHAnsi" w:cstheme="minorHAnsi"/>
                <w:b/>
                <w:sz w:val="18"/>
                <w:szCs w:val="18"/>
                <w:lang w:val="en-GB"/>
              </w:rPr>
            </w:pPr>
            <w:r w:rsidRPr="00BD047C">
              <w:rPr>
                <w:rFonts w:asciiTheme="minorHAnsi" w:hAnsiTheme="minorHAnsi" w:cstheme="minorHAnsi"/>
                <w:b/>
                <w:sz w:val="18"/>
                <w:szCs w:val="18"/>
                <w:lang w:val="en-GB"/>
              </w:rPr>
              <w:t>SECTION</w:t>
            </w:r>
          </w:p>
        </w:tc>
        <w:tc>
          <w:tcPr>
            <w:tcW w:w="1133" w:type="pct"/>
            <w:shd w:val="clear" w:color="auto" w:fill="DDD9C3" w:themeFill="background2" w:themeFillShade="E6"/>
          </w:tcPr>
          <w:p w:rsidR="004E303A" w:rsidRPr="00BD047C" w:rsidRDefault="004E303A" w:rsidP="00D368E3">
            <w:pPr>
              <w:jc w:val="both"/>
              <w:rPr>
                <w:rFonts w:asciiTheme="minorHAnsi" w:hAnsiTheme="minorHAnsi" w:cstheme="minorHAnsi"/>
                <w:b/>
                <w:sz w:val="18"/>
                <w:szCs w:val="18"/>
                <w:lang w:val="en-GB"/>
              </w:rPr>
            </w:pPr>
            <w:r w:rsidRPr="00BD047C">
              <w:rPr>
                <w:rFonts w:asciiTheme="minorHAnsi" w:hAnsiTheme="minorHAnsi" w:cstheme="minorHAnsi"/>
                <w:b/>
                <w:sz w:val="18"/>
                <w:szCs w:val="18"/>
                <w:lang w:val="en-GB"/>
              </w:rPr>
              <w:t>CONDITION</w:t>
            </w:r>
          </w:p>
        </w:tc>
        <w:tc>
          <w:tcPr>
            <w:tcW w:w="2136" w:type="pct"/>
            <w:shd w:val="clear" w:color="auto" w:fill="DDD9C3" w:themeFill="background2" w:themeFillShade="E6"/>
          </w:tcPr>
          <w:p w:rsidR="004E303A" w:rsidRPr="00BD047C" w:rsidRDefault="004E303A" w:rsidP="00D368E3">
            <w:pPr>
              <w:jc w:val="center"/>
              <w:rPr>
                <w:rFonts w:asciiTheme="minorHAnsi" w:hAnsiTheme="minorHAnsi" w:cstheme="minorHAnsi"/>
                <w:b/>
                <w:sz w:val="18"/>
                <w:szCs w:val="18"/>
                <w:lang w:val="en-GB"/>
              </w:rPr>
            </w:pPr>
            <w:r w:rsidRPr="00BD047C">
              <w:rPr>
                <w:rFonts w:asciiTheme="minorHAnsi" w:hAnsiTheme="minorHAnsi" w:cstheme="minorHAnsi"/>
                <w:b/>
                <w:sz w:val="18"/>
                <w:szCs w:val="18"/>
                <w:lang w:val="en-GB"/>
              </w:rPr>
              <w:t xml:space="preserve">MEDICINE </w:t>
            </w:r>
          </w:p>
        </w:tc>
        <w:tc>
          <w:tcPr>
            <w:tcW w:w="1264" w:type="pct"/>
            <w:shd w:val="clear" w:color="auto" w:fill="DDD9C3" w:themeFill="background2" w:themeFillShade="E6"/>
          </w:tcPr>
          <w:p w:rsidR="004E303A" w:rsidRPr="00BD047C" w:rsidRDefault="004E303A" w:rsidP="00D368E3">
            <w:pPr>
              <w:jc w:val="both"/>
              <w:rPr>
                <w:rFonts w:asciiTheme="minorHAnsi" w:hAnsiTheme="minorHAnsi" w:cstheme="minorHAnsi"/>
                <w:b/>
                <w:sz w:val="18"/>
                <w:szCs w:val="18"/>
                <w:lang w:val="en-GB"/>
              </w:rPr>
            </w:pPr>
            <w:r w:rsidRPr="00BD047C">
              <w:rPr>
                <w:rFonts w:asciiTheme="minorHAnsi" w:hAnsiTheme="minorHAnsi" w:cstheme="minorHAnsi"/>
                <w:b/>
                <w:sz w:val="18"/>
                <w:szCs w:val="18"/>
                <w:lang w:val="en-GB"/>
              </w:rPr>
              <w:t>MEDICINE ADDED/NOT ADDED</w:t>
            </w:r>
          </w:p>
        </w:tc>
      </w:tr>
      <w:tr w:rsidR="002626F0" w:rsidRPr="00BD047C" w:rsidTr="00BD047C">
        <w:trPr>
          <w:trHeight w:val="232"/>
        </w:trPr>
        <w:tc>
          <w:tcPr>
            <w:tcW w:w="467" w:type="pct"/>
            <w:vMerge w:val="restart"/>
          </w:tcPr>
          <w:p w:rsidR="002626F0" w:rsidRPr="00BD047C" w:rsidRDefault="002626F0" w:rsidP="00D368E3">
            <w:pPr>
              <w:jc w:val="both"/>
              <w:rPr>
                <w:rFonts w:asciiTheme="minorHAnsi" w:hAnsiTheme="minorHAnsi" w:cstheme="minorHAnsi"/>
                <w:b/>
                <w:sz w:val="18"/>
                <w:szCs w:val="18"/>
                <w:lang w:val="en-GB"/>
              </w:rPr>
            </w:pPr>
            <w:r w:rsidRPr="00BD047C">
              <w:rPr>
                <w:rFonts w:asciiTheme="minorHAnsi" w:eastAsia="Times New Roman" w:hAnsiTheme="minorHAnsi" w:cstheme="minorHAnsi"/>
                <w:b/>
                <w:bCs/>
                <w:sz w:val="18"/>
                <w:szCs w:val="18"/>
                <w:lang w:val="en-GB"/>
              </w:rPr>
              <w:t>22.1.1</w:t>
            </w:r>
          </w:p>
        </w:tc>
        <w:tc>
          <w:tcPr>
            <w:tcW w:w="1133" w:type="pct"/>
            <w:vMerge w:val="restart"/>
          </w:tcPr>
          <w:p w:rsidR="002626F0" w:rsidRPr="00BD047C" w:rsidRDefault="002626F0" w:rsidP="00D368E3">
            <w:pPr>
              <w:rPr>
                <w:rFonts w:asciiTheme="minorHAnsi" w:eastAsia="Times New Roman" w:hAnsiTheme="minorHAnsi" w:cstheme="minorHAnsi"/>
                <w:b/>
                <w:bCs/>
                <w:sz w:val="18"/>
                <w:szCs w:val="18"/>
                <w:lang w:val="en-GB"/>
              </w:rPr>
            </w:pPr>
            <w:r w:rsidRPr="00BD047C">
              <w:rPr>
                <w:rFonts w:asciiTheme="minorHAnsi" w:hAnsiTheme="minorHAnsi" w:cstheme="minorHAnsi"/>
                <w:b/>
                <w:sz w:val="18"/>
                <w:szCs w:val="18"/>
                <w:lang w:val="en-GB"/>
              </w:rPr>
              <w:t>Constipation</w:t>
            </w:r>
          </w:p>
        </w:tc>
        <w:tc>
          <w:tcPr>
            <w:tcW w:w="2136" w:type="pct"/>
          </w:tcPr>
          <w:p w:rsidR="002626F0" w:rsidRPr="00BD047C" w:rsidRDefault="002626F0" w:rsidP="00D368E3">
            <w:pPr>
              <w:rPr>
                <w:rFonts w:asciiTheme="minorHAnsi" w:hAnsiTheme="minorHAnsi" w:cstheme="minorHAnsi"/>
                <w:sz w:val="18"/>
                <w:szCs w:val="18"/>
                <w:lang w:val="en-GB"/>
              </w:rPr>
            </w:pPr>
            <w:r w:rsidRPr="00BD047C">
              <w:rPr>
                <w:rFonts w:asciiTheme="minorHAnsi" w:hAnsiTheme="minorHAnsi" w:cstheme="minorHAnsi"/>
                <w:color w:val="000000"/>
                <w:sz w:val="18"/>
                <w:szCs w:val="18"/>
              </w:rPr>
              <w:t>Sennosides A and B, oral</w:t>
            </w:r>
          </w:p>
        </w:tc>
        <w:tc>
          <w:tcPr>
            <w:tcW w:w="1264" w:type="pct"/>
          </w:tcPr>
          <w:p w:rsidR="002626F0" w:rsidRPr="00BD047C" w:rsidRDefault="002626F0" w:rsidP="00D368E3">
            <w:pPr>
              <w:jc w:val="both"/>
              <w:rPr>
                <w:rFonts w:asciiTheme="minorHAnsi" w:hAnsiTheme="minorHAnsi" w:cstheme="minorHAnsi"/>
                <w:sz w:val="18"/>
                <w:szCs w:val="18"/>
                <w:lang w:val="en-GB"/>
              </w:rPr>
            </w:pPr>
            <w:r w:rsidRPr="00BD047C">
              <w:rPr>
                <w:rFonts w:asciiTheme="minorHAnsi" w:hAnsiTheme="minorHAnsi" w:cstheme="minorHAnsi"/>
                <w:sz w:val="18"/>
                <w:szCs w:val="18"/>
                <w:lang w:val="en-GB"/>
              </w:rPr>
              <w:t>Added</w:t>
            </w:r>
          </w:p>
        </w:tc>
      </w:tr>
      <w:tr w:rsidR="002626F0" w:rsidRPr="00BD047C" w:rsidTr="00BD047C">
        <w:trPr>
          <w:trHeight w:val="136"/>
        </w:trPr>
        <w:tc>
          <w:tcPr>
            <w:tcW w:w="467" w:type="pct"/>
            <w:vMerge/>
          </w:tcPr>
          <w:p w:rsidR="002626F0" w:rsidRPr="00BD047C" w:rsidRDefault="002626F0" w:rsidP="00D368E3">
            <w:pPr>
              <w:jc w:val="both"/>
              <w:rPr>
                <w:rFonts w:asciiTheme="minorHAnsi" w:eastAsia="Times New Roman" w:hAnsiTheme="minorHAnsi" w:cstheme="minorHAnsi"/>
                <w:b/>
                <w:bCs/>
                <w:sz w:val="18"/>
                <w:szCs w:val="18"/>
              </w:rPr>
            </w:pPr>
          </w:p>
        </w:tc>
        <w:tc>
          <w:tcPr>
            <w:tcW w:w="1133" w:type="pct"/>
            <w:vMerge/>
          </w:tcPr>
          <w:p w:rsidR="002626F0" w:rsidRPr="00BD047C" w:rsidRDefault="002626F0" w:rsidP="00D368E3">
            <w:pPr>
              <w:rPr>
                <w:rFonts w:asciiTheme="minorHAnsi" w:hAnsiTheme="minorHAnsi" w:cstheme="minorHAnsi"/>
                <w:b/>
                <w:sz w:val="18"/>
                <w:szCs w:val="18"/>
              </w:rPr>
            </w:pPr>
          </w:p>
        </w:tc>
        <w:tc>
          <w:tcPr>
            <w:tcW w:w="2136" w:type="pct"/>
          </w:tcPr>
          <w:p w:rsidR="002626F0" w:rsidRPr="00BD047C" w:rsidRDefault="002626F0" w:rsidP="00D368E3">
            <w:pPr>
              <w:rPr>
                <w:rFonts w:asciiTheme="minorHAnsi" w:hAnsiTheme="minorHAnsi" w:cstheme="minorHAnsi"/>
                <w:sz w:val="18"/>
                <w:szCs w:val="18"/>
              </w:rPr>
            </w:pPr>
            <w:r w:rsidRPr="00BD047C">
              <w:rPr>
                <w:rFonts w:asciiTheme="minorHAnsi" w:hAnsiTheme="minorHAnsi" w:cstheme="minorHAnsi"/>
                <w:color w:val="000000"/>
                <w:sz w:val="18"/>
                <w:szCs w:val="18"/>
              </w:rPr>
              <w:t>Lactulose, oral</w:t>
            </w:r>
          </w:p>
        </w:tc>
        <w:tc>
          <w:tcPr>
            <w:tcW w:w="1264" w:type="pct"/>
          </w:tcPr>
          <w:p w:rsidR="002626F0" w:rsidRPr="00BD047C" w:rsidRDefault="002626F0" w:rsidP="00D368E3">
            <w:pPr>
              <w:jc w:val="both"/>
              <w:rPr>
                <w:rFonts w:asciiTheme="minorHAnsi" w:hAnsiTheme="minorHAnsi" w:cstheme="minorHAnsi"/>
                <w:color w:val="000000"/>
                <w:sz w:val="18"/>
                <w:szCs w:val="18"/>
              </w:rPr>
            </w:pPr>
            <w:r w:rsidRPr="00BD047C">
              <w:rPr>
                <w:rFonts w:asciiTheme="minorHAnsi" w:hAnsiTheme="minorHAnsi" w:cstheme="minorHAnsi"/>
                <w:color w:val="000000"/>
                <w:sz w:val="18"/>
                <w:szCs w:val="18"/>
              </w:rPr>
              <w:t>Added</w:t>
            </w:r>
          </w:p>
        </w:tc>
      </w:tr>
      <w:tr w:rsidR="002626F0" w:rsidRPr="00BD047C" w:rsidTr="00BD047C">
        <w:trPr>
          <w:trHeight w:val="53"/>
        </w:trPr>
        <w:tc>
          <w:tcPr>
            <w:tcW w:w="467" w:type="pct"/>
            <w:vMerge/>
          </w:tcPr>
          <w:p w:rsidR="002626F0" w:rsidRPr="00BD047C" w:rsidRDefault="002626F0" w:rsidP="00D368E3">
            <w:pPr>
              <w:jc w:val="both"/>
              <w:rPr>
                <w:rFonts w:asciiTheme="minorHAnsi" w:eastAsia="Times New Roman" w:hAnsiTheme="minorHAnsi" w:cstheme="minorHAnsi"/>
                <w:b/>
                <w:bCs/>
                <w:sz w:val="18"/>
                <w:szCs w:val="18"/>
              </w:rPr>
            </w:pPr>
          </w:p>
        </w:tc>
        <w:tc>
          <w:tcPr>
            <w:tcW w:w="1133" w:type="pct"/>
            <w:vMerge/>
          </w:tcPr>
          <w:p w:rsidR="002626F0" w:rsidRPr="00BD047C" w:rsidRDefault="002626F0" w:rsidP="00D368E3">
            <w:pPr>
              <w:rPr>
                <w:rFonts w:asciiTheme="minorHAnsi" w:hAnsiTheme="minorHAnsi" w:cstheme="minorHAnsi"/>
                <w:b/>
                <w:sz w:val="18"/>
                <w:szCs w:val="18"/>
              </w:rPr>
            </w:pPr>
          </w:p>
        </w:tc>
        <w:tc>
          <w:tcPr>
            <w:tcW w:w="2136" w:type="pct"/>
          </w:tcPr>
          <w:p w:rsidR="002626F0" w:rsidRPr="00BD047C" w:rsidRDefault="002626F0" w:rsidP="00D368E3">
            <w:pPr>
              <w:rPr>
                <w:rFonts w:asciiTheme="minorHAnsi" w:hAnsiTheme="minorHAnsi" w:cstheme="minorHAnsi"/>
                <w:color w:val="000000"/>
                <w:sz w:val="18"/>
                <w:szCs w:val="18"/>
              </w:rPr>
            </w:pPr>
            <w:r w:rsidRPr="00BD047C">
              <w:rPr>
                <w:rFonts w:asciiTheme="minorHAnsi" w:hAnsiTheme="minorHAnsi" w:cstheme="minorHAnsi"/>
                <w:color w:val="000000"/>
                <w:sz w:val="18"/>
                <w:szCs w:val="18"/>
              </w:rPr>
              <w:t>Glycerine, suppositries</w:t>
            </w:r>
          </w:p>
        </w:tc>
        <w:tc>
          <w:tcPr>
            <w:tcW w:w="1264" w:type="pct"/>
          </w:tcPr>
          <w:p w:rsidR="002626F0" w:rsidRPr="00BD047C" w:rsidRDefault="002626F0" w:rsidP="00D368E3">
            <w:pPr>
              <w:jc w:val="both"/>
              <w:rPr>
                <w:rFonts w:asciiTheme="minorHAnsi" w:hAnsiTheme="minorHAnsi" w:cstheme="minorHAnsi"/>
                <w:color w:val="000000"/>
                <w:sz w:val="18"/>
                <w:szCs w:val="18"/>
              </w:rPr>
            </w:pPr>
            <w:r w:rsidRPr="00BD047C">
              <w:rPr>
                <w:rFonts w:asciiTheme="minorHAnsi" w:hAnsiTheme="minorHAnsi" w:cstheme="minorHAnsi"/>
                <w:color w:val="000000"/>
                <w:sz w:val="18"/>
                <w:szCs w:val="18"/>
              </w:rPr>
              <w:t>Not added</w:t>
            </w:r>
          </w:p>
        </w:tc>
      </w:tr>
      <w:tr w:rsidR="002626F0" w:rsidRPr="00BD047C" w:rsidTr="00BD047C">
        <w:trPr>
          <w:trHeight w:val="100"/>
        </w:trPr>
        <w:tc>
          <w:tcPr>
            <w:tcW w:w="467" w:type="pct"/>
            <w:vMerge/>
          </w:tcPr>
          <w:p w:rsidR="002626F0" w:rsidRPr="00BD047C" w:rsidRDefault="002626F0" w:rsidP="00D368E3">
            <w:pPr>
              <w:jc w:val="both"/>
              <w:rPr>
                <w:rFonts w:asciiTheme="minorHAnsi" w:eastAsia="Times New Roman" w:hAnsiTheme="minorHAnsi" w:cstheme="minorHAnsi"/>
                <w:b/>
                <w:bCs/>
                <w:sz w:val="18"/>
                <w:szCs w:val="18"/>
              </w:rPr>
            </w:pPr>
          </w:p>
        </w:tc>
        <w:tc>
          <w:tcPr>
            <w:tcW w:w="1133" w:type="pct"/>
            <w:vMerge/>
          </w:tcPr>
          <w:p w:rsidR="002626F0" w:rsidRPr="00BD047C" w:rsidRDefault="002626F0" w:rsidP="00D368E3">
            <w:pPr>
              <w:rPr>
                <w:rFonts w:asciiTheme="minorHAnsi" w:hAnsiTheme="minorHAnsi" w:cstheme="minorHAnsi"/>
                <w:b/>
                <w:sz w:val="18"/>
                <w:szCs w:val="18"/>
              </w:rPr>
            </w:pPr>
          </w:p>
        </w:tc>
        <w:tc>
          <w:tcPr>
            <w:tcW w:w="2136" w:type="pct"/>
          </w:tcPr>
          <w:p w:rsidR="002626F0" w:rsidRPr="00BD047C" w:rsidRDefault="002626F0" w:rsidP="00D368E3">
            <w:pPr>
              <w:rPr>
                <w:rFonts w:asciiTheme="minorHAnsi" w:hAnsiTheme="minorHAnsi" w:cstheme="minorHAnsi"/>
                <w:color w:val="000000"/>
                <w:sz w:val="18"/>
                <w:szCs w:val="18"/>
              </w:rPr>
            </w:pPr>
            <w:r w:rsidRPr="00BD047C">
              <w:rPr>
                <w:rFonts w:asciiTheme="minorHAnsi" w:hAnsiTheme="minorHAnsi" w:cstheme="minorHAnsi"/>
                <w:color w:val="000000"/>
                <w:sz w:val="18"/>
                <w:szCs w:val="18"/>
              </w:rPr>
              <w:t>Phosphate enemas</w:t>
            </w:r>
          </w:p>
        </w:tc>
        <w:tc>
          <w:tcPr>
            <w:tcW w:w="1264" w:type="pct"/>
          </w:tcPr>
          <w:p w:rsidR="002626F0" w:rsidRPr="00BD047C" w:rsidRDefault="002626F0" w:rsidP="00D368E3">
            <w:pPr>
              <w:jc w:val="both"/>
              <w:rPr>
                <w:rFonts w:asciiTheme="minorHAnsi" w:hAnsiTheme="minorHAnsi" w:cstheme="minorHAnsi"/>
                <w:color w:val="000000"/>
                <w:sz w:val="18"/>
                <w:szCs w:val="18"/>
              </w:rPr>
            </w:pPr>
            <w:r w:rsidRPr="00BD047C">
              <w:rPr>
                <w:rFonts w:asciiTheme="minorHAnsi" w:hAnsiTheme="minorHAnsi" w:cstheme="minorHAnsi"/>
                <w:color w:val="000000"/>
                <w:sz w:val="18"/>
                <w:szCs w:val="18"/>
              </w:rPr>
              <w:t>Not added</w:t>
            </w:r>
          </w:p>
        </w:tc>
      </w:tr>
      <w:tr w:rsidR="002626F0" w:rsidRPr="00BD047C" w:rsidTr="00BD047C">
        <w:trPr>
          <w:trHeight w:val="160"/>
        </w:trPr>
        <w:tc>
          <w:tcPr>
            <w:tcW w:w="467" w:type="pct"/>
            <w:vMerge/>
          </w:tcPr>
          <w:p w:rsidR="002626F0" w:rsidRPr="00BD047C" w:rsidRDefault="002626F0" w:rsidP="00D368E3">
            <w:pPr>
              <w:jc w:val="both"/>
              <w:rPr>
                <w:rFonts w:asciiTheme="minorHAnsi" w:eastAsia="Times New Roman" w:hAnsiTheme="minorHAnsi" w:cstheme="minorHAnsi"/>
                <w:b/>
                <w:bCs/>
                <w:sz w:val="18"/>
                <w:szCs w:val="18"/>
              </w:rPr>
            </w:pPr>
          </w:p>
        </w:tc>
        <w:tc>
          <w:tcPr>
            <w:tcW w:w="1133" w:type="pct"/>
            <w:vMerge/>
          </w:tcPr>
          <w:p w:rsidR="002626F0" w:rsidRPr="00BD047C" w:rsidRDefault="002626F0" w:rsidP="00D368E3">
            <w:pPr>
              <w:rPr>
                <w:rFonts w:asciiTheme="minorHAnsi" w:hAnsiTheme="minorHAnsi" w:cstheme="minorHAnsi"/>
                <w:b/>
                <w:sz w:val="18"/>
                <w:szCs w:val="18"/>
              </w:rPr>
            </w:pPr>
          </w:p>
        </w:tc>
        <w:tc>
          <w:tcPr>
            <w:tcW w:w="2136" w:type="pct"/>
          </w:tcPr>
          <w:p w:rsidR="002626F0" w:rsidRPr="00BD047C" w:rsidRDefault="002626F0" w:rsidP="00D368E3">
            <w:pPr>
              <w:rPr>
                <w:rFonts w:asciiTheme="minorHAnsi" w:hAnsiTheme="minorHAnsi" w:cstheme="minorHAnsi"/>
                <w:color w:val="000000"/>
                <w:sz w:val="18"/>
                <w:szCs w:val="18"/>
              </w:rPr>
            </w:pPr>
            <w:r w:rsidRPr="00BD047C">
              <w:rPr>
                <w:rFonts w:asciiTheme="minorHAnsi" w:hAnsiTheme="minorHAnsi" w:cstheme="minorHAnsi"/>
                <w:color w:val="000000"/>
                <w:sz w:val="18"/>
                <w:szCs w:val="18"/>
              </w:rPr>
              <w:t>Bisacodyl suppositories</w:t>
            </w:r>
          </w:p>
        </w:tc>
        <w:tc>
          <w:tcPr>
            <w:tcW w:w="1264" w:type="pct"/>
          </w:tcPr>
          <w:p w:rsidR="002626F0" w:rsidRPr="00BD047C" w:rsidRDefault="002626F0" w:rsidP="00D368E3">
            <w:pPr>
              <w:jc w:val="both"/>
              <w:rPr>
                <w:rFonts w:asciiTheme="minorHAnsi" w:hAnsiTheme="minorHAnsi" w:cstheme="minorHAnsi"/>
                <w:color w:val="000000"/>
                <w:sz w:val="18"/>
                <w:szCs w:val="18"/>
              </w:rPr>
            </w:pPr>
            <w:r w:rsidRPr="00BD047C">
              <w:rPr>
                <w:rFonts w:asciiTheme="minorHAnsi" w:hAnsiTheme="minorHAnsi" w:cstheme="minorHAnsi"/>
                <w:color w:val="000000"/>
                <w:sz w:val="18"/>
                <w:szCs w:val="18"/>
              </w:rPr>
              <w:t>Not added</w:t>
            </w:r>
          </w:p>
        </w:tc>
      </w:tr>
      <w:tr w:rsidR="004717B0" w:rsidRPr="00BD047C" w:rsidTr="00BD047C">
        <w:trPr>
          <w:trHeight w:val="64"/>
        </w:trPr>
        <w:tc>
          <w:tcPr>
            <w:tcW w:w="467" w:type="pct"/>
            <w:vMerge w:val="restart"/>
          </w:tcPr>
          <w:p w:rsidR="004717B0" w:rsidRPr="00BD047C" w:rsidRDefault="004717B0" w:rsidP="00D368E3">
            <w:pPr>
              <w:jc w:val="both"/>
              <w:rPr>
                <w:rFonts w:asciiTheme="minorHAnsi" w:eastAsia="Times New Roman" w:hAnsiTheme="minorHAnsi" w:cstheme="minorHAnsi"/>
                <w:b/>
                <w:bCs/>
                <w:sz w:val="18"/>
                <w:szCs w:val="18"/>
              </w:rPr>
            </w:pPr>
            <w:r w:rsidRPr="00BD047C">
              <w:rPr>
                <w:rFonts w:asciiTheme="minorHAnsi" w:hAnsiTheme="minorHAnsi" w:cstheme="minorHAnsi"/>
                <w:b/>
                <w:sz w:val="18"/>
                <w:szCs w:val="18"/>
              </w:rPr>
              <w:t>22.</w:t>
            </w:r>
            <w:r w:rsidR="00867C42" w:rsidRPr="00BD047C">
              <w:rPr>
                <w:rFonts w:asciiTheme="minorHAnsi" w:hAnsiTheme="minorHAnsi" w:cstheme="minorHAnsi"/>
                <w:b/>
                <w:sz w:val="18"/>
                <w:szCs w:val="18"/>
              </w:rPr>
              <w:t>1.2</w:t>
            </w:r>
          </w:p>
        </w:tc>
        <w:tc>
          <w:tcPr>
            <w:tcW w:w="1133" w:type="pct"/>
            <w:vMerge w:val="restart"/>
          </w:tcPr>
          <w:p w:rsidR="004717B0" w:rsidRPr="00BD047C" w:rsidRDefault="004717B0" w:rsidP="00D368E3">
            <w:pPr>
              <w:rPr>
                <w:rFonts w:asciiTheme="minorHAnsi" w:hAnsiTheme="minorHAnsi" w:cstheme="minorHAnsi"/>
                <w:b/>
                <w:sz w:val="18"/>
                <w:szCs w:val="18"/>
              </w:rPr>
            </w:pPr>
            <w:r w:rsidRPr="00BD047C">
              <w:rPr>
                <w:rFonts w:asciiTheme="minorHAnsi" w:hAnsiTheme="minorHAnsi" w:cstheme="minorHAnsi"/>
                <w:b/>
                <w:sz w:val="18"/>
                <w:szCs w:val="18"/>
              </w:rPr>
              <w:t>Diarrhoea</w:t>
            </w:r>
          </w:p>
        </w:tc>
        <w:tc>
          <w:tcPr>
            <w:tcW w:w="2136" w:type="pct"/>
          </w:tcPr>
          <w:p w:rsidR="004717B0" w:rsidRPr="00BD047C" w:rsidRDefault="004717B0" w:rsidP="00D368E3">
            <w:pPr>
              <w:rPr>
                <w:rFonts w:asciiTheme="minorHAnsi" w:hAnsiTheme="minorHAnsi" w:cstheme="minorHAnsi"/>
                <w:color w:val="000000"/>
                <w:sz w:val="18"/>
                <w:szCs w:val="18"/>
              </w:rPr>
            </w:pPr>
            <w:r w:rsidRPr="00BD047C">
              <w:rPr>
                <w:rFonts w:asciiTheme="minorHAnsi" w:hAnsiTheme="minorHAnsi" w:cstheme="minorHAnsi"/>
                <w:color w:val="000000"/>
                <w:sz w:val="18"/>
                <w:szCs w:val="18"/>
              </w:rPr>
              <w:t>Loperamide, oral</w:t>
            </w:r>
          </w:p>
        </w:tc>
        <w:tc>
          <w:tcPr>
            <w:tcW w:w="1264" w:type="pct"/>
          </w:tcPr>
          <w:p w:rsidR="004717B0" w:rsidRPr="00BD047C" w:rsidRDefault="004717B0" w:rsidP="00D368E3">
            <w:pPr>
              <w:jc w:val="both"/>
              <w:rPr>
                <w:rFonts w:asciiTheme="minorHAnsi" w:hAnsiTheme="minorHAnsi" w:cstheme="minorHAnsi"/>
                <w:color w:val="000000"/>
                <w:sz w:val="18"/>
                <w:szCs w:val="18"/>
              </w:rPr>
            </w:pPr>
            <w:r w:rsidRPr="00BD047C">
              <w:rPr>
                <w:rFonts w:asciiTheme="minorHAnsi" w:hAnsiTheme="minorHAnsi" w:cstheme="minorHAnsi"/>
                <w:color w:val="000000"/>
                <w:sz w:val="18"/>
                <w:szCs w:val="18"/>
              </w:rPr>
              <w:t>Added</w:t>
            </w:r>
          </w:p>
        </w:tc>
      </w:tr>
      <w:tr w:rsidR="004717B0" w:rsidRPr="00BD047C" w:rsidTr="00BD047C">
        <w:trPr>
          <w:trHeight w:val="124"/>
        </w:trPr>
        <w:tc>
          <w:tcPr>
            <w:tcW w:w="467" w:type="pct"/>
            <w:vMerge/>
          </w:tcPr>
          <w:p w:rsidR="004717B0" w:rsidRPr="00BD047C" w:rsidRDefault="004717B0" w:rsidP="00D368E3">
            <w:pPr>
              <w:jc w:val="both"/>
              <w:rPr>
                <w:rFonts w:asciiTheme="minorHAnsi" w:eastAsia="Times New Roman" w:hAnsiTheme="minorHAnsi" w:cstheme="minorHAnsi"/>
                <w:b/>
                <w:bCs/>
                <w:sz w:val="18"/>
                <w:szCs w:val="18"/>
              </w:rPr>
            </w:pPr>
          </w:p>
        </w:tc>
        <w:tc>
          <w:tcPr>
            <w:tcW w:w="1133" w:type="pct"/>
            <w:vMerge/>
          </w:tcPr>
          <w:p w:rsidR="004717B0" w:rsidRPr="00BD047C" w:rsidRDefault="004717B0" w:rsidP="00D368E3">
            <w:pPr>
              <w:rPr>
                <w:rFonts w:asciiTheme="minorHAnsi" w:hAnsiTheme="minorHAnsi" w:cstheme="minorHAnsi"/>
                <w:b/>
                <w:sz w:val="18"/>
                <w:szCs w:val="18"/>
              </w:rPr>
            </w:pPr>
          </w:p>
        </w:tc>
        <w:tc>
          <w:tcPr>
            <w:tcW w:w="2136" w:type="pct"/>
          </w:tcPr>
          <w:p w:rsidR="004717B0" w:rsidRPr="00BD047C" w:rsidRDefault="004717B0" w:rsidP="00D368E3">
            <w:pPr>
              <w:autoSpaceDE w:val="0"/>
              <w:autoSpaceDN w:val="0"/>
              <w:adjustRightInd w:val="0"/>
              <w:jc w:val="both"/>
              <w:rPr>
                <w:rFonts w:asciiTheme="minorHAnsi" w:hAnsiTheme="minorHAnsi" w:cstheme="minorHAnsi"/>
                <w:bCs/>
                <w:color w:val="000000"/>
                <w:sz w:val="18"/>
                <w:szCs w:val="18"/>
              </w:rPr>
            </w:pPr>
            <w:r w:rsidRPr="00BD047C">
              <w:rPr>
                <w:rFonts w:asciiTheme="minorHAnsi" w:hAnsiTheme="minorHAnsi" w:cstheme="minorHAnsi"/>
                <w:bCs/>
                <w:color w:val="000000"/>
                <w:sz w:val="18"/>
                <w:szCs w:val="18"/>
              </w:rPr>
              <w:t>Oral rehydration solution</w:t>
            </w:r>
          </w:p>
        </w:tc>
        <w:tc>
          <w:tcPr>
            <w:tcW w:w="1264" w:type="pct"/>
          </w:tcPr>
          <w:p w:rsidR="004717B0" w:rsidRPr="00BD047C" w:rsidRDefault="004717B0" w:rsidP="00D368E3">
            <w:pPr>
              <w:autoSpaceDE w:val="0"/>
              <w:autoSpaceDN w:val="0"/>
              <w:adjustRightInd w:val="0"/>
              <w:jc w:val="both"/>
              <w:rPr>
                <w:rFonts w:asciiTheme="minorHAnsi" w:hAnsiTheme="minorHAnsi" w:cstheme="minorHAnsi"/>
                <w:bCs/>
                <w:color w:val="000000"/>
                <w:sz w:val="18"/>
                <w:szCs w:val="18"/>
              </w:rPr>
            </w:pPr>
            <w:r w:rsidRPr="00BD047C">
              <w:rPr>
                <w:rFonts w:asciiTheme="minorHAnsi" w:hAnsiTheme="minorHAnsi" w:cstheme="minorHAnsi"/>
                <w:bCs/>
                <w:color w:val="000000"/>
                <w:sz w:val="18"/>
                <w:szCs w:val="18"/>
              </w:rPr>
              <w:t>Not added</w:t>
            </w:r>
          </w:p>
        </w:tc>
      </w:tr>
      <w:tr w:rsidR="00BD047C" w:rsidRPr="00BD047C" w:rsidTr="00BD047C">
        <w:trPr>
          <w:trHeight w:val="183"/>
        </w:trPr>
        <w:tc>
          <w:tcPr>
            <w:tcW w:w="467" w:type="pct"/>
            <w:vMerge w:val="restart"/>
          </w:tcPr>
          <w:p w:rsidR="00BD047C" w:rsidRPr="00BD047C" w:rsidRDefault="00BD047C" w:rsidP="00D368E3">
            <w:pPr>
              <w:jc w:val="both"/>
              <w:rPr>
                <w:rFonts w:asciiTheme="minorHAnsi" w:eastAsia="Times New Roman" w:hAnsiTheme="minorHAnsi" w:cstheme="minorHAnsi"/>
                <w:b/>
                <w:bCs/>
                <w:sz w:val="18"/>
                <w:szCs w:val="18"/>
              </w:rPr>
            </w:pPr>
            <w:r w:rsidRPr="00BD047C">
              <w:rPr>
                <w:rFonts w:asciiTheme="minorHAnsi" w:hAnsiTheme="minorHAnsi" w:cstheme="minorHAnsi"/>
                <w:b/>
                <w:bCs/>
                <w:color w:val="000000"/>
                <w:sz w:val="18"/>
                <w:szCs w:val="18"/>
              </w:rPr>
              <w:t>22.1.3</w:t>
            </w:r>
          </w:p>
        </w:tc>
        <w:tc>
          <w:tcPr>
            <w:tcW w:w="1133" w:type="pct"/>
            <w:vMerge w:val="restart"/>
          </w:tcPr>
          <w:p w:rsidR="00BD047C" w:rsidRPr="00BD047C" w:rsidRDefault="00BD047C" w:rsidP="00D368E3">
            <w:pPr>
              <w:autoSpaceDE w:val="0"/>
              <w:autoSpaceDN w:val="0"/>
              <w:adjustRightInd w:val="0"/>
              <w:jc w:val="both"/>
              <w:rPr>
                <w:rFonts w:asciiTheme="minorHAnsi" w:hAnsiTheme="minorHAnsi" w:cstheme="minorHAnsi"/>
                <w:b/>
                <w:bCs/>
                <w:color w:val="000000"/>
                <w:sz w:val="18"/>
                <w:szCs w:val="18"/>
              </w:rPr>
            </w:pPr>
            <w:r w:rsidRPr="00BD047C">
              <w:rPr>
                <w:rFonts w:asciiTheme="minorHAnsi" w:hAnsiTheme="minorHAnsi" w:cstheme="minorHAnsi"/>
                <w:b/>
                <w:bCs/>
                <w:color w:val="000000"/>
                <w:sz w:val="18"/>
                <w:szCs w:val="18"/>
              </w:rPr>
              <w:t>Nausea and vomiting</w:t>
            </w:r>
          </w:p>
        </w:tc>
        <w:tc>
          <w:tcPr>
            <w:tcW w:w="2136" w:type="pct"/>
          </w:tcPr>
          <w:p w:rsidR="00BD047C" w:rsidRPr="00BD047C" w:rsidRDefault="00BD047C" w:rsidP="00D368E3">
            <w:pPr>
              <w:pStyle w:val="ListParagraph"/>
              <w:autoSpaceDE w:val="0"/>
              <w:autoSpaceDN w:val="0"/>
              <w:adjustRightInd w:val="0"/>
              <w:ind w:left="0"/>
              <w:rPr>
                <w:rFonts w:asciiTheme="minorHAnsi" w:hAnsiTheme="minorHAnsi" w:cstheme="minorHAnsi"/>
                <w:bCs/>
                <w:sz w:val="18"/>
                <w:szCs w:val="18"/>
              </w:rPr>
            </w:pPr>
            <w:r w:rsidRPr="00BD047C">
              <w:rPr>
                <w:rFonts w:asciiTheme="minorHAnsi" w:hAnsiTheme="minorHAnsi" w:cstheme="minorHAnsi"/>
                <w:bCs/>
                <w:sz w:val="18"/>
                <w:szCs w:val="18"/>
              </w:rPr>
              <w:t>Metoclopramide, oral</w:t>
            </w:r>
          </w:p>
        </w:tc>
        <w:tc>
          <w:tcPr>
            <w:tcW w:w="1264" w:type="pct"/>
          </w:tcPr>
          <w:p w:rsidR="00BD047C" w:rsidRPr="00BD047C" w:rsidRDefault="00BD047C" w:rsidP="00D368E3">
            <w:pPr>
              <w:autoSpaceDE w:val="0"/>
              <w:autoSpaceDN w:val="0"/>
              <w:adjustRightInd w:val="0"/>
              <w:jc w:val="both"/>
              <w:rPr>
                <w:rFonts w:asciiTheme="minorHAnsi" w:hAnsiTheme="minorHAnsi" w:cstheme="minorHAnsi"/>
                <w:bCs/>
                <w:color w:val="000000"/>
                <w:sz w:val="18"/>
                <w:szCs w:val="18"/>
              </w:rPr>
            </w:pPr>
            <w:r w:rsidRPr="00BD047C">
              <w:rPr>
                <w:rFonts w:asciiTheme="minorHAnsi" w:hAnsiTheme="minorHAnsi" w:cstheme="minorHAnsi"/>
                <w:bCs/>
                <w:sz w:val="18"/>
                <w:szCs w:val="18"/>
              </w:rPr>
              <w:t>Added</w:t>
            </w:r>
          </w:p>
        </w:tc>
      </w:tr>
      <w:tr w:rsidR="00BD047C" w:rsidRPr="00BD047C" w:rsidTr="00BD047C">
        <w:trPr>
          <w:trHeight w:val="204"/>
        </w:trPr>
        <w:tc>
          <w:tcPr>
            <w:tcW w:w="467" w:type="pct"/>
            <w:vMerge/>
          </w:tcPr>
          <w:p w:rsidR="00BD047C" w:rsidRPr="00BD047C" w:rsidRDefault="00BD047C" w:rsidP="00D368E3">
            <w:pPr>
              <w:jc w:val="both"/>
              <w:rPr>
                <w:rFonts w:asciiTheme="minorHAnsi" w:eastAsia="Times New Roman" w:hAnsiTheme="minorHAnsi" w:cstheme="minorHAnsi"/>
                <w:b/>
                <w:bCs/>
                <w:sz w:val="18"/>
                <w:szCs w:val="18"/>
              </w:rPr>
            </w:pPr>
          </w:p>
        </w:tc>
        <w:tc>
          <w:tcPr>
            <w:tcW w:w="1133" w:type="pct"/>
            <w:vMerge/>
          </w:tcPr>
          <w:p w:rsidR="00BD047C" w:rsidRPr="00BD047C" w:rsidRDefault="00BD047C" w:rsidP="00D368E3">
            <w:pPr>
              <w:rPr>
                <w:rFonts w:asciiTheme="minorHAnsi" w:hAnsiTheme="minorHAnsi" w:cstheme="minorHAnsi"/>
                <w:b/>
                <w:sz w:val="18"/>
                <w:szCs w:val="18"/>
              </w:rPr>
            </w:pPr>
          </w:p>
        </w:tc>
        <w:tc>
          <w:tcPr>
            <w:tcW w:w="2136" w:type="pct"/>
          </w:tcPr>
          <w:p w:rsidR="00BD047C" w:rsidRPr="00BD047C" w:rsidRDefault="00BD047C" w:rsidP="00D368E3">
            <w:pPr>
              <w:pStyle w:val="ListParagraph"/>
              <w:autoSpaceDE w:val="0"/>
              <w:autoSpaceDN w:val="0"/>
              <w:adjustRightInd w:val="0"/>
              <w:ind w:left="0"/>
              <w:rPr>
                <w:rFonts w:asciiTheme="minorHAnsi" w:hAnsiTheme="minorHAnsi" w:cstheme="minorHAnsi"/>
                <w:bCs/>
                <w:sz w:val="18"/>
                <w:szCs w:val="18"/>
              </w:rPr>
            </w:pPr>
            <w:r w:rsidRPr="00BD047C">
              <w:rPr>
                <w:rFonts w:asciiTheme="minorHAnsi" w:hAnsiTheme="minorHAnsi" w:cstheme="minorHAnsi"/>
                <w:bCs/>
                <w:sz w:val="18"/>
                <w:szCs w:val="18"/>
              </w:rPr>
              <w:t>Ondansetron, oral</w:t>
            </w:r>
          </w:p>
        </w:tc>
        <w:tc>
          <w:tcPr>
            <w:tcW w:w="1264" w:type="pct"/>
          </w:tcPr>
          <w:p w:rsidR="00BD047C" w:rsidRPr="00BD047C" w:rsidRDefault="00BD047C" w:rsidP="00D368E3">
            <w:pPr>
              <w:jc w:val="both"/>
              <w:rPr>
                <w:rFonts w:asciiTheme="minorHAnsi" w:hAnsiTheme="minorHAnsi" w:cstheme="minorHAnsi"/>
                <w:color w:val="000000"/>
                <w:sz w:val="18"/>
                <w:szCs w:val="18"/>
              </w:rPr>
            </w:pPr>
            <w:r w:rsidRPr="00BD047C">
              <w:rPr>
                <w:rFonts w:asciiTheme="minorHAnsi" w:hAnsiTheme="minorHAnsi" w:cstheme="minorHAnsi"/>
                <w:color w:val="000000"/>
                <w:sz w:val="18"/>
                <w:szCs w:val="18"/>
              </w:rPr>
              <w:t>Not added</w:t>
            </w:r>
          </w:p>
        </w:tc>
      </w:tr>
      <w:tr w:rsidR="00BD047C" w:rsidRPr="00BD047C" w:rsidTr="00BD047C">
        <w:trPr>
          <w:trHeight w:val="108"/>
        </w:trPr>
        <w:tc>
          <w:tcPr>
            <w:tcW w:w="467" w:type="pct"/>
            <w:vMerge/>
          </w:tcPr>
          <w:p w:rsidR="00BD047C" w:rsidRPr="00BD047C" w:rsidRDefault="00BD047C" w:rsidP="00D368E3">
            <w:pPr>
              <w:jc w:val="both"/>
              <w:rPr>
                <w:rFonts w:asciiTheme="minorHAnsi" w:eastAsia="Times New Roman" w:hAnsiTheme="minorHAnsi" w:cstheme="minorHAnsi"/>
                <w:b/>
                <w:bCs/>
                <w:sz w:val="18"/>
                <w:szCs w:val="18"/>
              </w:rPr>
            </w:pPr>
          </w:p>
        </w:tc>
        <w:tc>
          <w:tcPr>
            <w:tcW w:w="1133" w:type="pct"/>
            <w:vMerge/>
          </w:tcPr>
          <w:p w:rsidR="00BD047C" w:rsidRPr="00BD047C" w:rsidRDefault="00BD047C" w:rsidP="00D368E3">
            <w:pPr>
              <w:rPr>
                <w:rFonts w:asciiTheme="minorHAnsi" w:hAnsiTheme="minorHAnsi" w:cstheme="minorHAnsi"/>
                <w:b/>
                <w:sz w:val="18"/>
                <w:szCs w:val="18"/>
              </w:rPr>
            </w:pPr>
          </w:p>
        </w:tc>
        <w:tc>
          <w:tcPr>
            <w:tcW w:w="2136" w:type="pct"/>
          </w:tcPr>
          <w:p w:rsidR="00BD047C" w:rsidRPr="00BD047C" w:rsidRDefault="00BD047C" w:rsidP="00D368E3">
            <w:pPr>
              <w:pStyle w:val="ListParagraph"/>
              <w:autoSpaceDE w:val="0"/>
              <w:autoSpaceDN w:val="0"/>
              <w:adjustRightInd w:val="0"/>
              <w:ind w:left="0"/>
              <w:rPr>
                <w:rFonts w:asciiTheme="minorHAnsi" w:hAnsiTheme="minorHAnsi" w:cstheme="minorHAnsi"/>
                <w:bCs/>
                <w:sz w:val="18"/>
                <w:szCs w:val="18"/>
              </w:rPr>
            </w:pPr>
            <w:r w:rsidRPr="00BD047C">
              <w:rPr>
                <w:rFonts w:asciiTheme="minorHAnsi" w:hAnsiTheme="minorHAnsi" w:cstheme="minorHAnsi"/>
                <w:bCs/>
                <w:sz w:val="18"/>
                <w:szCs w:val="18"/>
              </w:rPr>
              <w:t>Haloperidol</w:t>
            </w:r>
          </w:p>
        </w:tc>
        <w:tc>
          <w:tcPr>
            <w:tcW w:w="1264" w:type="pct"/>
          </w:tcPr>
          <w:p w:rsidR="00BD047C" w:rsidRPr="00BD047C" w:rsidRDefault="00BD047C" w:rsidP="00D368E3">
            <w:pPr>
              <w:jc w:val="both"/>
              <w:rPr>
                <w:rFonts w:asciiTheme="minorHAnsi" w:hAnsiTheme="minorHAnsi" w:cstheme="minorHAnsi"/>
                <w:color w:val="000000"/>
                <w:sz w:val="18"/>
                <w:szCs w:val="18"/>
              </w:rPr>
            </w:pPr>
            <w:r w:rsidRPr="00BD047C">
              <w:rPr>
                <w:rFonts w:asciiTheme="minorHAnsi" w:hAnsiTheme="minorHAnsi" w:cstheme="minorHAnsi"/>
                <w:color w:val="000000"/>
                <w:sz w:val="18"/>
                <w:szCs w:val="18"/>
              </w:rPr>
              <w:t>Not added</w:t>
            </w:r>
          </w:p>
        </w:tc>
      </w:tr>
      <w:tr w:rsidR="00BD047C" w:rsidRPr="00BD047C" w:rsidTr="00BD047C">
        <w:trPr>
          <w:trHeight w:val="53"/>
        </w:trPr>
        <w:tc>
          <w:tcPr>
            <w:tcW w:w="467" w:type="pct"/>
            <w:vMerge/>
          </w:tcPr>
          <w:p w:rsidR="00BD047C" w:rsidRPr="00BD047C" w:rsidRDefault="00BD047C" w:rsidP="00D368E3">
            <w:pPr>
              <w:jc w:val="both"/>
              <w:rPr>
                <w:rFonts w:asciiTheme="minorHAnsi" w:eastAsia="Times New Roman" w:hAnsiTheme="minorHAnsi" w:cstheme="minorHAnsi"/>
                <w:b/>
                <w:bCs/>
                <w:sz w:val="18"/>
                <w:szCs w:val="18"/>
              </w:rPr>
            </w:pPr>
          </w:p>
        </w:tc>
        <w:tc>
          <w:tcPr>
            <w:tcW w:w="1133" w:type="pct"/>
            <w:vMerge/>
          </w:tcPr>
          <w:p w:rsidR="00BD047C" w:rsidRPr="00BD047C" w:rsidRDefault="00BD047C" w:rsidP="00D368E3">
            <w:pPr>
              <w:rPr>
                <w:rFonts w:asciiTheme="minorHAnsi" w:hAnsiTheme="minorHAnsi" w:cstheme="minorHAnsi"/>
                <w:b/>
                <w:sz w:val="18"/>
                <w:szCs w:val="18"/>
              </w:rPr>
            </w:pPr>
          </w:p>
        </w:tc>
        <w:tc>
          <w:tcPr>
            <w:tcW w:w="2136" w:type="pct"/>
          </w:tcPr>
          <w:p w:rsidR="00BD047C" w:rsidRPr="00BD047C" w:rsidRDefault="00BD047C" w:rsidP="00D368E3">
            <w:pPr>
              <w:pStyle w:val="ListParagraph"/>
              <w:autoSpaceDE w:val="0"/>
              <w:autoSpaceDN w:val="0"/>
              <w:adjustRightInd w:val="0"/>
              <w:ind w:left="0"/>
              <w:rPr>
                <w:rFonts w:asciiTheme="minorHAnsi" w:hAnsiTheme="minorHAnsi" w:cstheme="minorHAnsi"/>
                <w:bCs/>
                <w:sz w:val="18"/>
                <w:szCs w:val="18"/>
              </w:rPr>
            </w:pPr>
            <w:r w:rsidRPr="00BD047C">
              <w:rPr>
                <w:rFonts w:asciiTheme="minorHAnsi" w:hAnsiTheme="minorHAnsi" w:cstheme="minorHAnsi"/>
                <w:bCs/>
                <w:sz w:val="18"/>
                <w:szCs w:val="18"/>
              </w:rPr>
              <w:t>Cyclizine</w:t>
            </w:r>
          </w:p>
        </w:tc>
        <w:tc>
          <w:tcPr>
            <w:tcW w:w="1264" w:type="pct"/>
          </w:tcPr>
          <w:p w:rsidR="00BD047C" w:rsidRPr="00BD047C" w:rsidRDefault="00BD047C" w:rsidP="00D368E3">
            <w:pPr>
              <w:jc w:val="both"/>
              <w:rPr>
                <w:rFonts w:asciiTheme="minorHAnsi" w:hAnsiTheme="minorHAnsi" w:cstheme="minorHAnsi"/>
                <w:color w:val="000000"/>
                <w:sz w:val="18"/>
                <w:szCs w:val="18"/>
              </w:rPr>
            </w:pPr>
            <w:r w:rsidRPr="00BD047C">
              <w:rPr>
                <w:rFonts w:asciiTheme="minorHAnsi" w:hAnsiTheme="minorHAnsi" w:cstheme="minorHAnsi"/>
                <w:color w:val="000000"/>
                <w:sz w:val="18"/>
                <w:szCs w:val="18"/>
              </w:rPr>
              <w:t>Not added</w:t>
            </w:r>
          </w:p>
        </w:tc>
      </w:tr>
      <w:tr w:rsidR="00BD047C" w:rsidRPr="00BD047C" w:rsidTr="00BD047C">
        <w:trPr>
          <w:trHeight w:val="72"/>
        </w:trPr>
        <w:tc>
          <w:tcPr>
            <w:tcW w:w="467" w:type="pct"/>
            <w:vMerge/>
          </w:tcPr>
          <w:p w:rsidR="00BD047C" w:rsidRPr="00BD047C" w:rsidRDefault="00BD047C" w:rsidP="00D368E3">
            <w:pPr>
              <w:jc w:val="both"/>
              <w:rPr>
                <w:rFonts w:asciiTheme="minorHAnsi" w:eastAsia="Times New Roman" w:hAnsiTheme="minorHAnsi" w:cstheme="minorHAnsi"/>
                <w:b/>
                <w:bCs/>
                <w:sz w:val="18"/>
                <w:szCs w:val="18"/>
              </w:rPr>
            </w:pPr>
          </w:p>
        </w:tc>
        <w:tc>
          <w:tcPr>
            <w:tcW w:w="1133" w:type="pct"/>
            <w:vMerge/>
          </w:tcPr>
          <w:p w:rsidR="00BD047C" w:rsidRPr="00BD047C" w:rsidRDefault="00BD047C" w:rsidP="00D368E3">
            <w:pPr>
              <w:rPr>
                <w:rFonts w:asciiTheme="minorHAnsi" w:hAnsiTheme="minorHAnsi" w:cstheme="minorHAnsi"/>
                <w:b/>
                <w:sz w:val="18"/>
                <w:szCs w:val="18"/>
              </w:rPr>
            </w:pPr>
          </w:p>
        </w:tc>
        <w:tc>
          <w:tcPr>
            <w:tcW w:w="2136" w:type="pct"/>
          </w:tcPr>
          <w:p w:rsidR="00BD047C" w:rsidRPr="00BD047C" w:rsidRDefault="00BD047C" w:rsidP="00D368E3">
            <w:pPr>
              <w:pStyle w:val="ListParagraph"/>
              <w:autoSpaceDE w:val="0"/>
              <w:autoSpaceDN w:val="0"/>
              <w:adjustRightInd w:val="0"/>
              <w:ind w:left="0"/>
              <w:rPr>
                <w:rFonts w:asciiTheme="minorHAnsi" w:hAnsiTheme="minorHAnsi" w:cstheme="minorHAnsi"/>
                <w:bCs/>
                <w:sz w:val="18"/>
                <w:szCs w:val="18"/>
              </w:rPr>
            </w:pPr>
            <w:r w:rsidRPr="00BD047C">
              <w:rPr>
                <w:rFonts w:asciiTheme="minorHAnsi" w:hAnsiTheme="minorHAnsi" w:cstheme="minorHAnsi"/>
                <w:bCs/>
                <w:sz w:val="18"/>
                <w:szCs w:val="18"/>
              </w:rPr>
              <w:t>Dexamethasone/Betamethasone</w:t>
            </w:r>
          </w:p>
        </w:tc>
        <w:tc>
          <w:tcPr>
            <w:tcW w:w="1264" w:type="pct"/>
          </w:tcPr>
          <w:p w:rsidR="00BD047C" w:rsidRPr="00BD047C" w:rsidRDefault="00BD047C" w:rsidP="00D368E3">
            <w:pPr>
              <w:jc w:val="both"/>
              <w:rPr>
                <w:rFonts w:asciiTheme="minorHAnsi" w:hAnsiTheme="minorHAnsi" w:cstheme="minorHAnsi"/>
                <w:color w:val="000000"/>
                <w:sz w:val="18"/>
                <w:szCs w:val="18"/>
              </w:rPr>
            </w:pPr>
            <w:r w:rsidRPr="00BD047C">
              <w:rPr>
                <w:rFonts w:asciiTheme="minorHAnsi" w:hAnsiTheme="minorHAnsi" w:cstheme="minorHAnsi"/>
                <w:color w:val="000000"/>
                <w:sz w:val="18"/>
                <w:szCs w:val="18"/>
              </w:rPr>
              <w:t>Not added</w:t>
            </w:r>
          </w:p>
        </w:tc>
      </w:tr>
      <w:tr w:rsidR="00BD047C" w:rsidRPr="00BD047C" w:rsidTr="00BD047C">
        <w:trPr>
          <w:trHeight w:val="53"/>
        </w:trPr>
        <w:tc>
          <w:tcPr>
            <w:tcW w:w="467" w:type="pct"/>
            <w:vMerge/>
          </w:tcPr>
          <w:p w:rsidR="00BD047C" w:rsidRPr="00BD047C" w:rsidRDefault="00BD047C" w:rsidP="00D368E3">
            <w:pPr>
              <w:jc w:val="both"/>
              <w:rPr>
                <w:rFonts w:asciiTheme="minorHAnsi" w:eastAsia="Times New Roman" w:hAnsiTheme="minorHAnsi" w:cstheme="minorHAnsi"/>
                <w:b/>
                <w:bCs/>
                <w:sz w:val="18"/>
                <w:szCs w:val="18"/>
              </w:rPr>
            </w:pPr>
          </w:p>
        </w:tc>
        <w:tc>
          <w:tcPr>
            <w:tcW w:w="1133" w:type="pct"/>
            <w:vMerge/>
          </w:tcPr>
          <w:p w:rsidR="00BD047C" w:rsidRPr="00BD047C" w:rsidRDefault="00BD047C" w:rsidP="00D368E3">
            <w:pPr>
              <w:rPr>
                <w:rFonts w:asciiTheme="minorHAnsi" w:hAnsiTheme="minorHAnsi" w:cstheme="minorHAnsi"/>
                <w:b/>
                <w:sz w:val="18"/>
                <w:szCs w:val="18"/>
              </w:rPr>
            </w:pPr>
          </w:p>
        </w:tc>
        <w:tc>
          <w:tcPr>
            <w:tcW w:w="2136" w:type="pct"/>
          </w:tcPr>
          <w:p w:rsidR="00BD047C" w:rsidRPr="00BD047C" w:rsidRDefault="00BD047C" w:rsidP="00D368E3">
            <w:pPr>
              <w:pStyle w:val="ListParagraph"/>
              <w:autoSpaceDE w:val="0"/>
              <w:autoSpaceDN w:val="0"/>
              <w:adjustRightInd w:val="0"/>
              <w:ind w:left="0"/>
              <w:rPr>
                <w:rFonts w:asciiTheme="minorHAnsi" w:hAnsiTheme="minorHAnsi" w:cstheme="minorHAnsi"/>
                <w:bCs/>
                <w:sz w:val="18"/>
                <w:szCs w:val="18"/>
              </w:rPr>
            </w:pPr>
            <w:r w:rsidRPr="00BD047C">
              <w:rPr>
                <w:rFonts w:asciiTheme="minorHAnsi" w:hAnsiTheme="minorHAnsi" w:cstheme="minorHAnsi"/>
                <w:bCs/>
                <w:sz w:val="18"/>
                <w:szCs w:val="18"/>
              </w:rPr>
              <w:t>Lorazepam</w:t>
            </w:r>
          </w:p>
        </w:tc>
        <w:tc>
          <w:tcPr>
            <w:tcW w:w="1264" w:type="pct"/>
          </w:tcPr>
          <w:p w:rsidR="00BD047C" w:rsidRPr="00BD047C" w:rsidRDefault="00BD047C" w:rsidP="00D368E3">
            <w:pPr>
              <w:jc w:val="both"/>
              <w:rPr>
                <w:rFonts w:asciiTheme="minorHAnsi" w:hAnsiTheme="minorHAnsi" w:cstheme="minorHAnsi"/>
                <w:color w:val="000000"/>
                <w:sz w:val="18"/>
                <w:szCs w:val="18"/>
              </w:rPr>
            </w:pPr>
            <w:r w:rsidRPr="00BD047C">
              <w:rPr>
                <w:rFonts w:asciiTheme="minorHAnsi" w:hAnsiTheme="minorHAnsi" w:cstheme="minorHAnsi"/>
                <w:color w:val="000000"/>
                <w:sz w:val="18"/>
                <w:szCs w:val="18"/>
              </w:rPr>
              <w:t>Not added</w:t>
            </w:r>
          </w:p>
        </w:tc>
      </w:tr>
      <w:tr w:rsidR="004A5ED0" w:rsidRPr="00BD047C" w:rsidTr="00BD047C">
        <w:trPr>
          <w:trHeight w:val="53"/>
        </w:trPr>
        <w:tc>
          <w:tcPr>
            <w:tcW w:w="467" w:type="pct"/>
            <w:vMerge w:val="restart"/>
          </w:tcPr>
          <w:p w:rsidR="004A5ED0" w:rsidRPr="004A5ED0" w:rsidRDefault="004A5ED0" w:rsidP="00D368E3">
            <w:pPr>
              <w:jc w:val="both"/>
              <w:rPr>
                <w:rFonts w:asciiTheme="minorHAnsi" w:eastAsia="Times New Roman" w:hAnsiTheme="minorHAnsi" w:cstheme="minorHAnsi"/>
                <w:b/>
                <w:bCs/>
                <w:sz w:val="18"/>
                <w:szCs w:val="18"/>
              </w:rPr>
            </w:pPr>
            <w:r w:rsidRPr="004A5ED0">
              <w:rPr>
                <w:rFonts w:asciiTheme="minorHAnsi" w:hAnsiTheme="minorHAnsi" w:cstheme="minorHAnsi"/>
                <w:b/>
                <w:sz w:val="18"/>
                <w:szCs w:val="18"/>
              </w:rPr>
              <w:t>22.2.1</w:t>
            </w:r>
          </w:p>
        </w:tc>
        <w:tc>
          <w:tcPr>
            <w:tcW w:w="1133" w:type="pct"/>
            <w:vMerge w:val="restart"/>
          </w:tcPr>
          <w:p w:rsidR="004A5ED0" w:rsidRPr="004A5ED0" w:rsidRDefault="004A5ED0" w:rsidP="00D368E3">
            <w:pPr>
              <w:rPr>
                <w:rFonts w:asciiTheme="minorHAnsi" w:hAnsiTheme="minorHAnsi" w:cstheme="minorHAnsi"/>
                <w:b/>
                <w:sz w:val="18"/>
                <w:szCs w:val="18"/>
              </w:rPr>
            </w:pPr>
            <w:r w:rsidRPr="004A5ED0">
              <w:rPr>
                <w:rFonts w:asciiTheme="minorHAnsi" w:hAnsiTheme="minorHAnsi" w:cstheme="minorHAnsi"/>
                <w:b/>
                <w:sz w:val="18"/>
                <w:szCs w:val="18"/>
              </w:rPr>
              <w:t>Anxiety</w:t>
            </w:r>
          </w:p>
        </w:tc>
        <w:tc>
          <w:tcPr>
            <w:tcW w:w="2136" w:type="pct"/>
          </w:tcPr>
          <w:p w:rsidR="004A5ED0" w:rsidRPr="004A5ED0" w:rsidRDefault="004A5ED0" w:rsidP="00D368E3">
            <w:pPr>
              <w:pStyle w:val="ListParagraph"/>
              <w:autoSpaceDE w:val="0"/>
              <w:autoSpaceDN w:val="0"/>
              <w:adjustRightInd w:val="0"/>
              <w:ind w:left="0"/>
              <w:jc w:val="both"/>
              <w:rPr>
                <w:rFonts w:cstheme="minorHAnsi"/>
                <w:bCs/>
                <w:sz w:val="18"/>
                <w:szCs w:val="18"/>
              </w:rPr>
            </w:pPr>
            <w:r w:rsidRPr="004A5ED0">
              <w:rPr>
                <w:rFonts w:asciiTheme="minorHAnsi" w:hAnsiTheme="minorHAnsi" w:cstheme="minorHAnsi"/>
                <w:bCs/>
                <w:sz w:val="18"/>
                <w:szCs w:val="18"/>
              </w:rPr>
              <w:t>Fluoxetine, oral</w:t>
            </w:r>
          </w:p>
        </w:tc>
        <w:tc>
          <w:tcPr>
            <w:tcW w:w="1264" w:type="pct"/>
          </w:tcPr>
          <w:p w:rsidR="004A5ED0" w:rsidRPr="004A5ED0" w:rsidRDefault="004A5ED0" w:rsidP="00D368E3">
            <w:pPr>
              <w:autoSpaceDE w:val="0"/>
              <w:autoSpaceDN w:val="0"/>
              <w:adjustRightInd w:val="0"/>
              <w:jc w:val="both"/>
              <w:rPr>
                <w:rFonts w:asciiTheme="minorHAnsi" w:hAnsiTheme="minorHAnsi" w:cstheme="minorHAnsi"/>
                <w:bCs/>
                <w:color w:val="000000"/>
                <w:sz w:val="18"/>
                <w:szCs w:val="18"/>
              </w:rPr>
            </w:pPr>
            <w:r w:rsidRPr="004A5ED0">
              <w:rPr>
                <w:rFonts w:asciiTheme="minorHAnsi" w:hAnsiTheme="minorHAnsi" w:cstheme="minorHAnsi"/>
                <w:bCs/>
                <w:sz w:val="18"/>
                <w:szCs w:val="18"/>
              </w:rPr>
              <w:t>Added</w:t>
            </w:r>
          </w:p>
        </w:tc>
      </w:tr>
      <w:tr w:rsidR="004A5ED0" w:rsidRPr="00BD047C" w:rsidTr="00BD047C">
        <w:trPr>
          <w:trHeight w:val="96"/>
        </w:trPr>
        <w:tc>
          <w:tcPr>
            <w:tcW w:w="467" w:type="pct"/>
            <w:vMerge/>
          </w:tcPr>
          <w:p w:rsidR="004A5ED0" w:rsidRPr="004A5ED0" w:rsidRDefault="004A5ED0" w:rsidP="00D368E3">
            <w:pPr>
              <w:jc w:val="both"/>
              <w:rPr>
                <w:rFonts w:asciiTheme="minorHAnsi" w:eastAsia="Times New Roman" w:hAnsiTheme="minorHAnsi" w:cstheme="minorHAnsi"/>
                <w:b/>
                <w:bCs/>
                <w:sz w:val="18"/>
                <w:szCs w:val="18"/>
              </w:rPr>
            </w:pPr>
          </w:p>
        </w:tc>
        <w:tc>
          <w:tcPr>
            <w:tcW w:w="1133" w:type="pct"/>
            <w:vMerge/>
          </w:tcPr>
          <w:p w:rsidR="004A5ED0" w:rsidRPr="004A5ED0" w:rsidRDefault="004A5ED0" w:rsidP="00D368E3">
            <w:pPr>
              <w:rPr>
                <w:rFonts w:asciiTheme="minorHAnsi" w:hAnsiTheme="minorHAnsi" w:cstheme="minorHAnsi"/>
                <w:b/>
                <w:sz w:val="18"/>
                <w:szCs w:val="18"/>
              </w:rPr>
            </w:pPr>
          </w:p>
        </w:tc>
        <w:tc>
          <w:tcPr>
            <w:tcW w:w="2136" w:type="pct"/>
          </w:tcPr>
          <w:p w:rsidR="004A5ED0" w:rsidRPr="004A5ED0" w:rsidRDefault="004A5ED0" w:rsidP="00D368E3">
            <w:pPr>
              <w:pStyle w:val="ListParagraph"/>
              <w:autoSpaceDE w:val="0"/>
              <w:autoSpaceDN w:val="0"/>
              <w:adjustRightInd w:val="0"/>
              <w:ind w:left="0"/>
              <w:jc w:val="both"/>
              <w:rPr>
                <w:rFonts w:cstheme="minorHAnsi"/>
                <w:bCs/>
                <w:sz w:val="18"/>
                <w:szCs w:val="18"/>
              </w:rPr>
            </w:pPr>
            <w:r w:rsidRPr="004A5ED0">
              <w:rPr>
                <w:rFonts w:asciiTheme="minorHAnsi" w:hAnsiTheme="minorHAnsi" w:cstheme="minorHAnsi"/>
                <w:bCs/>
                <w:sz w:val="18"/>
                <w:szCs w:val="18"/>
              </w:rPr>
              <w:t>Citalopram, oral</w:t>
            </w:r>
          </w:p>
        </w:tc>
        <w:tc>
          <w:tcPr>
            <w:tcW w:w="1264" w:type="pct"/>
          </w:tcPr>
          <w:p w:rsidR="004A5ED0" w:rsidRPr="004A5ED0" w:rsidRDefault="004A5ED0" w:rsidP="00D368E3">
            <w:pPr>
              <w:jc w:val="both"/>
              <w:rPr>
                <w:rFonts w:asciiTheme="minorHAnsi" w:hAnsiTheme="minorHAnsi" w:cstheme="minorHAnsi"/>
                <w:color w:val="000000"/>
                <w:sz w:val="18"/>
                <w:szCs w:val="18"/>
              </w:rPr>
            </w:pPr>
            <w:r w:rsidRPr="004A5ED0">
              <w:rPr>
                <w:rFonts w:asciiTheme="minorHAnsi" w:hAnsiTheme="minorHAnsi" w:cstheme="minorHAnsi"/>
                <w:color w:val="000000"/>
                <w:sz w:val="18"/>
                <w:szCs w:val="18"/>
              </w:rPr>
              <w:t>Added</w:t>
            </w:r>
          </w:p>
        </w:tc>
      </w:tr>
      <w:tr w:rsidR="004A5ED0" w:rsidRPr="00BD047C" w:rsidTr="00BD047C">
        <w:trPr>
          <w:trHeight w:val="96"/>
        </w:trPr>
        <w:tc>
          <w:tcPr>
            <w:tcW w:w="467" w:type="pct"/>
            <w:vMerge/>
          </w:tcPr>
          <w:p w:rsidR="004A5ED0" w:rsidRPr="004A5ED0" w:rsidRDefault="004A5ED0" w:rsidP="00D368E3">
            <w:pPr>
              <w:jc w:val="both"/>
              <w:rPr>
                <w:rFonts w:asciiTheme="minorHAnsi" w:eastAsia="Times New Roman" w:hAnsiTheme="minorHAnsi" w:cstheme="minorHAnsi"/>
                <w:b/>
                <w:bCs/>
                <w:sz w:val="18"/>
                <w:szCs w:val="18"/>
              </w:rPr>
            </w:pPr>
          </w:p>
        </w:tc>
        <w:tc>
          <w:tcPr>
            <w:tcW w:w="1133" w:type="pct"/>
            <w:vMerge/>
          </w:tcPr>
          <w:p w:rsidR="004A5ED0" w:rsidRPr="004A5ED0" w:rsidRDefault="004A5ED0" w:rsidP="00D368E3">
            <w:pPr>
              <w:rPr>
                <w:rFonts w:asciiTheme="minorHAnsi" w:hAnsiTheme="minorHAnsi" w:cstheme="minorHAnsi"/>
                <w:b/>
                <w:sz w:val="18"/>
                <w:szCs w:val="18"/>
              </w:rPr>
            </w:pPr>
          </w:p>
        </w:tc>
        <w:tc>
          <w:tcPr>
            <w:tcW w:w="2136" w:type="pct"/>
          </w:tcPr>
          <w:p w:rsidR="004A5ED0" w:rsidRPr="004A5ED0" w:rsidRDefault="004A5ED0" w:rsidP="00D368E3">
            <w:pPr>
              <w:pStyle w:val="ListParagraph"/>
              <w:autoSpaceDE w:val="0"/>
              <w:autoSpaceDN w:val="0"/>
              <w:adjustRightInd w:val="0"/>
              <w:ind w:left="0"/>
              <w:jc w:val="both"/>
              <w:rPr>
                <w:rFonts w:cstheme="minorHAnsi"/>
                <w:bCs/>
                <w:sz w:val="18"/>
                <w:szCs w:val="18"/>
              </w:rPr>
            </w:pPr>
            <w:r w:rsidRPr="004A5ED0">
              <w:rPr>
                <w:rFonts w:asciiTheme="minorHAnsi" w:hAnsiTheme="minorHAnsi" w:cstheme="minorHAnsi"/>
                <w:bCs/>
                <w:sz w:val="18"/>
                <w:szCs w:val="18"/>
              </w:rPr>
              <w:t>Diazepam, oral</w:t>
            </w:r>
          </w:p>
        </w:tc>
        <w:tc>
          <w:tcPr>
            <w:tcW w:w="1264" w:type="pct"/>
          </w:tcPr>
          <w:p w:rsidR="004A5ED0" w:rsidRPr="004A5ED0" w:rsidRDefault="004A5ED0" w:rsidP="00D368E3">
            <w:pPr>
              <w:jc w:val="both"/>
              <w:rPr>
                <w:rFonts w:asciiTheme="minorHAnsi" w:hAnsiTheme="minorHAnsi" w:cstheme="minorHAnsi"/>
                <w:color w:val="000000"/>
                <w:sz w:val="18"/>
                <w:szCs w:val="18"/>
              </w:rPr>
            </w:pPr>
            <w:r w:rsidRPr="004A5ED0">
              <w:rPr>
                <w:rFonts w:asciiTheme="minorHAnsi" w:hAnsiTheme="minorHAnsi" w:cstheme="minorHAnsi"/>
                <w:color w:val="000000"/>
                <w:sz w:val="18"/>
                <w:szCs w:val="18"/>
              </w:rPr>
              <w:t>Added</w:t>
            </w:r>
          </w:p>
        </w:tc>
      </w:tr>
      <w:tr w:rsidR="004A5ED0" w:rsidRPr="00BD047C" w:rsidTr="00BD047C">
        <w:trPr>
          <w:trHeight w:val="96"/>
        </w:trPr>
        <w:tc>
          <w:tcPr>
            <w:tcW w:w="467" w:type="pct"/>
            <w:vMerge/>
          </w:tcPr>
          <w:p w:rsidR="004A5ED0" w:rsidRPr="004A5ED0" w:rsidRDefault="004A5ED0" w:rsidP="00D368E3">
            <w:pPr>
              <w:jc w:val="both"/>
              <w:rPr>
                <w:rFonts w:asciiTheme="minorHAnsi" w:eastAsia="Times New Roman" w:hAnsiTheme="minorHAnsi" w:cstheme="minorHAnsi"/>
                <w:b/>
                <w:bCs/>
                <w:sz w:val="18"/>
                <w:szCs w:val="18"/>
              </w:rPr>
            </w:pPr>
          </w:p>
        </w:tc>
        <w:tc>
          <w:tcPr>
            <w:tcW w:w="1133" w:type="pct"/>
            <w:vMerge/>
          </w:tcPr>
          <w:p w:rsidR="004A5ED0" w:rsidRPr="004A5ED0" w:rsidRDefault="004A5ED0" w:rsidP="00D368E3">
            <w:pPr>
              <w:rPr>
                <w:rFonts w:asciiTheme="minorHAnsi" w:hAnsiTheme="minorHAnsi" w:cstheme="minorHAnsi"/>
                <w:b/>
                <w:sz w:val="18"/>
                <w:szCs w:val="18"/>
              </w:rPr>
            </w:pPr>
          </w:p>
        </w:tc>
        <w:tc>
          <w:tcPr>
            <w:tcW w:w="2136" w:type="pct"/>
          </w:tcPr>
          <w:p w:rsidR="004A5ED0" w:rsidRPr="004A5ED0" w:rsidRDefault="004A5ED0" w:rsidP="00D368E3">
            <w:pPr>
              <w:pStyle w:val="ListParagraph"/>
              <w:autoSpaceDE w:val="0"/>
              <w:autoSpaceDN w:val="0"/>
              <w:adjustRightInd w:val="0"/>
              <w:ind w:left="0"/>
              <w:jc w:val="both"/>
              <w:rPr>
                <w:rFonts w:cstheme="minorHAnsi"/>
                <w:bCs/>
                <w:sz w:val="18"/>
                <w:szCs w:val="18"/>
              </w:rPr>
            </w:pPr>
            <w:r w:rsidRPr="004A5ED0">
              <w:rPr>
                <w:rFonts w:asciiTheme="minorHAnsi" w:hAnsiTheme="minorHAnsi" w:cstheme="minorHAnsi"/>
                <w:bCs/>
                <w:sz w:val="18"/>
                <w:szCs w:val="18"/>
              </w:rPr>
              <w:t>Lorazepam, sublingual</w:t>
            </w:r>
          </w:p>
        </w:tc>
        <w:tc>
          <w:tcPr>
            <w:tcW w:w="1264" w:type="pct"/>
          </w:tcPr>
          <w:p w:rsidR="004A5ED0" w:rsidRPr="004A5ED0" w:rsidRDefault="004A5ED0" w:rsidP="00D368E3">
            <w:pPr>
              <w:jc w:val="both"/>
              <w:rPr>
                <w:rFonts w:asciiTheme="minorHAnsi" w:hAnsiTheme="minorHAnsi" w:cstheme="minorHAnsi"/>
                <w:color w:val="000000"/>
                <w:sz w:val="18"/>
                <w:szCs w:val="18"/>
              </w:rPr>
            </w:pPr>
            <w:r w:rsidRPr="004A5ED0">
              <w:rPr>
                <w:rFonts w:asciiTheme="minorHAnsi" w:hAnsiTheme="minorHAnsi" w:cstheme="minorHAnsi"/>
                <w:color w:val="000000"/>
                <w:sz w:val="18"/>
                <w:szCs w:val="18"/>
              </w:rPr>
              <w:t>Not added</w:t>
            </w:r>
          </w:p>
        </w:tc>
      </w:tr>
      <w:tr w:rsidR="004A5ED0" w:rsidRPr="00BD047C" w:rsidTr="00BD047C">
        <w:trPr>
          <w:trHeight w:val="96"/>
        </w:trPr>
        <w:tc>
          <w:tcPr>
            <w:tcW w:w="467" w:type="pct"/>
            <w:vMerge/>
          </w:tcPr>
          <w:p w:rsidR="004A5ED0" w:rsidRPr="004A5ED0" w:rsidRDefault="004A5ED0" w:rsidP="00D368E3">
            <w:pPr>
              <w:jc w:val="both"/>
              <w:rPr>
                <w:rFonts w:asciiTheme="minorHAnsi" w:eastAsia="Times New Roman" w:hAnsiTheme="minorHAnsi" w:cstheme="minorHAnsi"/>
                <w:b/>
                <w:bCs/>
                <w:sz w:val="18"/>
                <w:szCs w:val="18"/>
              </w:rPr>
            </w:pPr>
          </w:p>
        </w:tc>
        <w:tc>
          <w:tcPr>
            <w:tcW w:w="1133" w:type="pct"/>
            <w:vMerge/>
          </w:tcPr>
          <w:p w:rsidR="004A5ED0" w:rsidRPr="004A5ED0" w:rsidRDefault="004A5ED0" w:rsidP="00D368E3">
            <w:pPr>
              <w:rPr>
                <w:rFonts w:asciiTheme="minorHAnsi" w:hAnsiTheme="minorHAnsi" w:cstheme="minorHAnsi"/>
                <w:b/>
                <w:sz w:val="18"/>
                <w:szCs w:val="18"/>
              </w:rPr>
            </w:pPr>
          </w:p>
        </w:tc>
        <w:tc>
          <w:tcPr>
            <w:tcW w:w="2136" w:type="pct"/>
          </w:tcPr>
          <w:p w:rsidR="004A5ED0" w:rsidRPr="004A5ED0" w:rsidRDefault="004A5ED0" w:rsidP="00D368E3">
            <w:pPr>
              <w:pStyle w:val="ListParagraph"/>
              <w:autoSpaceDE w:val="0"/>
              <w:autoSpaceDN w:val="0"/>
              <w:adjustRightInd w:val="0"/>
              <w:ind w:left="0"/>
              <w:jc w:val="both"/>
              <w:rPr>
                <w:rFonts w:cstheme="minorHAnsi"/>
                <w:bCs/>
                <w:sz w:val="18"/>
                <w:szCs w:val="18"/>
              </w:rPr>
            </w:pPr>
            <w:r w:rsidRPr="004A5ED0">
              <w:rPr>
                <w:rFonts w:asciiTheme="minorHAnsi" w:hAnsiTheme="minorHAnsi" w:cstheme="minorHAnsi"/>
                <w:bCs/>
                <w:sz w:val="18"/>
                <w:szCs w:val="18"/>
              </w:rPr>
              <w:t>Clonidine</w:t>
            </w:r>
          </w:p>
        </w:tc>
        <w:tc>
          <w:tcPr>
            <w:tcW w:w="1264" w:type="pct"/>
          </w:tcPr>
          <w:p w:rsidR="004A5ED0" w:rsidRPr="004A5ED0" w:rsidRDefault="004A5ED0" w:rsidP="00D368E3">
            <w:pPr>
              <w:jc w:val="both"/>
              <w:rPr>
                <w:rFonts w:asciiTheme="minorHAnsi" w:hAnsiTheme="minorHAnsi" w:cstheme="minorHAnsi"/>
                <w:color w:val="000000"/>
                <w:sz w:val="18"/>
                <w:szCs w:val="18"/>
              </w:rPr>
            </w:pPr>
            <w:r w:rsidRPr="004A5ED0">
              <w:rPr>
                <w:rFonts w:asciiTheme="minorHAnsi" w:hAnsiTheme="minorHAnsi" w:cstheme="minorHAnsi"/>
                <w:color w:val="000000"/>
                <w:sz w:val="18"/>
                <w:szCs w:val="18"/>
              </w:rPr>
              <w:t>Not added</w:t>
            </w:r>
          </w:p>
        </w:tc>
      </w:tr>
      <w:tr w:rsidR="009C6787" w:rsidRPr="00BD047C" w:rsidTr="00BD047C">
        <w:trPr>
          <w:trHeight w:val="96"/>
        </w:trPr>
        <w:tc>
          <w:tcPr>
            <w:tcW w:w="467" w:type="pct"/>
            <w:vMerge w:val="restart"/>
          </w:tcPr>
          <w:p w:rsidR="009C6787" w:rsidRPr="00BD047C" w:rsidRDefault="009C6787" w:rsidP="00D368E3">
            <w:pPr>
              <w:jc w:val="both"/>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22.2.2</w:t>
            </w:r>
          </w:p>
        </w:tc>
        <w:tc>
          <w:tcPr>
            <w:tcW w:w="1133" w:type="pct"/>
            <w:vMerge w:val="restart"/>
          </w:tcPr>
          <w:p w:rsidR="009C6787" w:rsidRPr="00BD047C" w:rsidRDefault="009C6787" w:rsidP="00D368E3">
            <w:pPr>
              <w:rPr>
                <w:rFonts w:asciiTheme="minorHAnsi" w:hAnsiTheme="minorHAnsi" w:cstheme="minorHAnsi"/>
                <w:b/>
                <w:sz w:val="18"/>
                <w:szCs w:val="18"/>
              </w:rPr>
            </w:pPr>
            <w:r>
              <w:rPr>
                <w:rFonts w:asciiTheme="minorHAnsi" w:hAnsiTheme="minorHAnsi" w:cstheme="minorHAnsi"/>
                <w:b/>
                <w:sz w:val="18"/>
                <w:szCs w:val="18"/>
              </w:rPr>
              <w:t>Del</w:t>
            </w:r>
            <w:r w:rsidR="00DF5363">
              <w:rPr>
                <w:rFonts w:asciiTheme="minorHAnsi" w:hAnsiTheme="minorHAnsi" w:cstheme="minorHAnsi"/>
                <w:b/>
                <w:sz w:val="18"/>
                <w:szCs w:val="18"/>
              </w:rPr>
              <w:t>i</w:t>
            </w:r>
            <w:r>
              <w:rPr>
                <w:rFonts w:asciiTheme="minorHAnsi" w:hAnsiTheme="minorHAnsi" w:cstheme="minorHAnsi"/>
                <w:b/>
                <w:sz w:val="18"/>
                <w:szCs w:val="18"/>
              </w:rPr>
              <w:t>rium</w:t>
            </w:r>
          </w:p>
        </w:tc>
        <w:tc>
          <w:tcPr>
            <w:tcW w:w="2136" w:type="pct"/>
          </w:tcPr>
          <w:p w:rsidR="009C6787" w:rsidRPr="00BD047C" w:rsidRDefault="009C6787" w:rsidP="00D368E3">
            <w:pPr>
              <w:rPr>
                <w:rFonts w:asciiTheme="minorHAnsi" w:hAnsiTheme="minorHAnsi" w:cstheme="minorHAnsi"/>
                <w:color w:val="000000"/>
                <w:sz w:val="18"/>
                <w:szCs w:val="18"/>
              </w:rPr>
            </w:pPr>
            <w:r>
              <w:rPr>
                <w:rFonts w:asciiTheme="minorHAnsi" w:hAnsiTheme="minorHAnsi" w:cstheme="minorHAnsi"/>
                <w:color w:val="000000"/>
                <w:sz w:val="18"/>
                <w:szCs w:val="18"/>
              </w:rPr>
              <w:t>Haloperidol, IM</w:t>
            </w:r>
          </w:p>
        </w:tc>
        <w:tc>
          <w:tcPr>
            <w:tcW w:w="1264" w:type="pct"/>
          </w:tcPr>
          <w:p w:rsidR="009C6787" w:rsidRPr="00BD047C" w:rsidRDefault="009C6787" w:rsidP="00D368E3">
            <w:pPr>
              <w:jc w:val="both"/>
              <w:rPr>
                <w:rFonts w:asciiTheme="minorHAnsi" w:hAnsiTheme="minorHAnsi" w:cstheme="minorHAnsi"/>
                <w:color w:val="000000"/>
                <w:sz w:val="18"/>
                <w:szCs w:val="18"/>
              </w:rPr>
            </w:pPr>
            <w:r>
              <w:rPr>
                <w:rFonts w:asciiTheme="minorHAnsi" w:hAnsiTheme="minorHAnsi" w:cstheme="minorHAnsi"/>
                <w:color w:val="000000"/>
                <w:sz w:val="18"/>
                <w:szCs w:val="18"/>
              </w:rPr>
              <w:t>Not added</w:t>
            </w:r>
          </w:p>
        </w:tc>
      </w:tr>
      <w:tr w:rsidR="009C6787" w:rsidRPr="00BD047C" w:rsidTr="00BD047C">
        <w:trPr>
          <w:trHeight w:val="96"/>
        </w:trPr>
        <w:tc>
          <w:tcPr>
            <w:tcW w:w="467" w:type="pct"/>
            <w:vMerge/>
          </w:tcPr>
          <w:p w:rsidR="009C6787" w:rsidRPr="00BD047C" w:rsidRDefault="009C6787" w:rsidP="00D368E3">
            <w:pPr>
              <w:jc w:val="both"/>
              <w:rPr>
                <w:rFonts w:asciiTheme="minorHAnsi" w:eastAsia="Times New Roman" w:hAnsiTheme="minorHAnsi" w:cstheme="minorHAnsi"/>
                <w:b/>
                <w:bCs/>
                <w:sz w:val="18"/>
                <w:szCs w:val="18"/>
              </w:rPr>
            </w:pPr>
          </w:p>
        </w:tc>
        <w:tc>
          <w:tcPr>
            <w:tcW w:w="1133" w:type="pct"/>
            <w:vMerge/>
          </w:tcPr>
          <w:p w:rsidR="009C6787" w:rsidRPr="00BD047C" w:rsidRDefault="009C6787" w:rsidP="00D368E3">
            <w:pPr>
              <w:rPr>
                <w:rFonts w:asciiTheme="minorHAnsi" w:hAnsiTheme="minorHAnsi" w:cstheme="minorHAnsi"/>
                <w:b/>
                <w:sz w:val="18"/>
                <w:szCs w:val="18"/>
              </w:rPr>
            </w:pPr>
          </w:p>
        </w:tc>
        <w:tc>
          <w:tcPr>
            <w:tcW w:w="2136" w:type="pct"/>
          </w:tcPr>
          <w:p w:rsidR="009C6787" w:rsidRPr="00BD047C" w:rsidRDefault="009C6787" w:rsidP="00D368E3">
            <w:pPr>
              <w:rPr>
                <w:rFonts w:asciiTheme="minorHAnsi" w:hAnsiTheme="minorHAnsi" w:cstheme="minorHAnsi"/>
                <w:color w:val="000000"/>
                <w:sz w:val="18"/>
                <w:szCs w:val="18"/>
              </w:rPr>
            </w:pPr>
            <w:r>
              <w:rPr>
                <w:rFonts w:asciiTheme="minorHAnsi" w:hAnsiTheme="minorHAnsi" w:cstheme="minorHAnsi"/>
                <w:color w:val="000000"/>
                <w:sz w:val="18"/>
                <w:szCs w:val="18"/>
              </w:rPr>
              <w:t>Diazepam, IV</w:t>
            </w:r>
          </w:p>
        </w:tc>
        <w:tc>
          <w:tcPr>
            <w:tcW w:w="1264" w:type="pct"/>
          </w:tcPr>
          <w:p w:rsidR="009C6787" w:rsidRPr="00BD047C" w:rsidRDefault="009C6787" w:rsidP="00D368E3">
            <w:pPr>
              <w:jc w:val="both"/>
              <w:rPr>
                <w:rFonts w:asciiTheme="minorHAnsi" w:hAnsiTheme="minorHAnsi" w:cstheme="minorHAnsi"/>
                <w:color w:val="000000"/>
                <w:sz w:val="18"/>
                <w:szCs w:val="18"/>
              </w:rPr>
            </w:pPr>
            <w:r>
              <w:rPr>
                <w:rFonts w:asciiTheme="minorHAnsi" w:hAnsiTheme="minorHAnsi" w:cstheme="minorHAnsi"/>
                <w:color w:val="000000"/>
                <w:sz w:val="18"/>
                <w:szCs w:val="18"/>
              </w:rPr>
              <w:t>Added</w:t>
            </w:r>
          </w:p>
        </w:tc>
      </w:tr>
      <w:tr w:rsidR="009C6787" w:rsidRPr="00BD047C" w:rsidTr="00BD047C">
        <w:trPr>
          <w:trHeight w:val="96"/>
        </w:trPr>
        <w:tc>
          <w:tcPr>
            <w:tcW w:w="467" w:type="pct"/>
            <w:vMerge/>
          </w:tcPr>
          <w:p w:rsidR="009C6787" w:rsidRPr="00BD047C" w:rsidRDefault="009C6787" w:rsidP="00D368E3">
            <w:pPr>
              <w:jc w:val="both"/>
              <w:rPr>
                <w:rFonts w:asciiTheme="minorHAnsi" w:eastAsia="Times New Roman" w:hAnsiTheme="minorHAnsi" w:cstheme="minorHAnsi"/>
                <w:b/>
                <w:bCs/>
                <w:sz w:val="18"/>
                <w:szCs w:val="18"/>
              </w:rPr>
            </w:pPr>
          </w:p>
        </w:tc>
        <w:tc>
          <w:tcPr>
            <w:tcW w:w="1133" w:type="pct"/>
            <w:vMerge/>
          </w:tcPr>
          <w:p w:rsidR="009C6787" w:rsidRPr="00BD047C" w:rsidRDefault="009C6787" w:rsidP="00D368E3">
            <w:pPr>
              <w:rPr>
                <w:rFonts w:asciiTheme="minorHAnsi" w:hAnsiTheme="minorHAnsi" w:cstheme="minorHAnsi"/>
                <w:b/>
                <w:sz w:val="18"/>
                <w:szCs w:val="18"/>
              </w:rPr>
            </w:pPr>
          </w:p>
        </w:tc>
        <w:tc>
          <w:tcPr>
            <w:tcW w:w="2136" w:type="pct"/>
          </w:tcPr>
          <w:p w:rsidR="009C6787" w:rsidRPr="00BD047C" w:rsidRDefault="009C6787" w:rsidP="00D368E3">
            <w:pPr>
              <w:rPr>
                <w:rFonts w:asciiTheme="minorHAnsi" w:hAnsiTheme="minorHAnsi" w:cstheme="minorHAnsi"/>
                <w:color w:val="000000"/>
                <w:sz w:val="18"/>
                <w:szCs w:val="18"/>
              </w:rPr>
            </w:pPr>
            <w:r>
              <w:rPr>
                <w:rFonts w:asciiTheme="minorHAnsi" w:hAnsiTheme="minorHAnsi" w:cstheme="minorHAnsi"/>
                <w:color w:val="000000"/>
                <w:sz w:val="18"/>
                <w:szCs w:val="18"/>
              </w:rPr>
              <w:t>Midazolam, IM</w:t>
            </w:r>
          </w:p>
        </w:tc>
        <w:tc>
          <w:tcPr>
            <w:tcW w:w="1264" w:type="pct"/>
          </w:tcPr>
          <w:p w:rsidR="009C6787" w:rsidRPr="00BD047C" w:rsidRDefault="009C6787" w:rsidP="00D368E3">
            <w:pPr>
              <w:jc w:val="both"/>
              <w:rPr>
                <w:rFonts w:asciiTheme="minorHAnsi" w:hAnsiTheme="minorHAnsi" w:cstheme="minorHAnsi"/>
                <w:color w:val="000000"/>
                <w:sz w:val="18"/>
                <w:szCs w:val="18"/>
              </w:rPr>
            </w:pPr>
            <w:r>
              <w:rPr>
                <w:rFonts w:asciiTheme="minorHAnsi" w:hAnsiTheme="minorHAnsi" w:cstheme="minorHAnsi"/>
                <w:color w:val="000000"/>
                <w:sz w:val="18"/>
                <w:szCs w:val="18"/>
              </w:rPr>
              <w:t>Added</w:t>
            </w:r>
          </w:p>
        </w:tc>
      </w:tr>
      <w:tr w:rsidR="009C6787" w:rsidRPr="00BD047C" w:rsidTr="00BD047C">
        <w:trPr>
          <w:trHeight w:val="96"/>
        </w:trPr>
        <w:tc>
          <w:tcPr>
            <w:tcW w:w="467" w:type="pct"/>
            <w:vMerge w:val="restart"/>
          </w:tcPr>
          <w:p w:rsidR="009C6787" w:rsidRPr="00BD047C" w:rsidRDefault="009C6787" w:rsidP="00D368E3">
            <w:pPr>
              <w:jc w:val="both"/>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22.2.3</w:t>
            </w:r>
          </w:p>
        </w:tc>
        <w:tc>
          <w:tcPr>
            <w:tcW w:w="1133" w:type="pct"/>
            <w:vMerge w:val="restart"/>
          </w:tcPr>
          <w:p w:rsidR="009C6787" w:rsidRPr="00BD047C" w:rsidRDefault="009C6787" w:rsidP="00D368E3">
            <w:pPr>
              <w:rPr>
                <w:rFonts w:asciiTheme="minorHAnsi" w:hAnsiTheme="minorHAnsi" w:cstheme="minorHAnsi"/>
                <w:b/>
                <w:sz w:val="18"/>
                <w:szCs w:val="18"/>
              </w:rPr>
            </w:pPr>
            <w:r>
              <w:rPr>
                <w:rFonts w:asciiTheme="minorHAnsi" w:hAnsiTheme="minorHAnsi" w:cstheme="minorHAnsi"/>
                <w:b/>
                <w:sz w:val="18"/>
                <w:szCs w:val="18"/>
              </w:rPr>
              <w:t>Depression</w:t>
            </w:r>
          </w:p>
        </w:tc>
        <w:tc>
          <w:tcPr>
            <w:tcW w:w="2136" w:type="pct"/>
          </w:tcPr>
          <w:p w:rsidR="009C6787" w:rsidRPr="00BD047C" w:rsidRDefault="009C6787" w:rsidP="00D368E3">
            <w:pPr>
              <w:rPr>
                <w:rFonts w:asciiTheme="minorHAnsi" w:hAnsiTheme="minorHAnsi" w:cstheme="minorHAnsi"/>
                <w:color w:val="000000"/>
                <w:sz w:val="18"/>
                <w:szCs w:val="18"/>
              </w:rPr>
            </w:pPr>
            <w:r>
              <w:rPr>
                <w:rFonts w:asciiTheme="minorHAnsi" w:hAnsiTheme="minorHAnsi" w:cstheme="minorHAnsi"/>
                <w:color w:val="000000"/>
                <w:sz w:val="18"/>
                <w:szCs w:val="18"/>
              </w:rPr>
              <w:t>Fluox</w:t>
            </w:r>
            <w:r w:rsidR="00DF5363">
              <w:rPr>
                <w:rFonts w:asciiTheme="minorHAnsi" w:hAnsiTheme="minorHAnsi" w:cstheme="minorHAnsi"/>
                <w:color w:val="000000"/>
                <w:sz w:val="18"/>
                <w:szCs w:val="18"/>
              </w:rPr>
              <w:t>e</w:t>
            </w:r>
            <w:r>
              <w:rPr>
                <w:rFonts w:asciiTheme="minorHAnsi" w:hAnsiTheme="minorHAnsi" w:cstheme="minorHAnsi"/>
                <w:color w:val="000000"/>
                <w:sz w:val="18"/>
                <w:szCs w:val="18"/>
              </w:rPr>
              <w:t>tine, oral</w:t>
            </w:r>
          </w:p>
        </w:tc>
        <w:tc>
          <w:tcPr>
            <w:tcW w:w="1264" w:type="pct"/>
          </w:tcPr>
          <w:p w:rsidR="009C6787" w:rsidRPr="00BD047C" w:rsidRDefault="009C6787" w:rsidP="00D368E3">
            <w:pPr>
              <w:jc w:val="both"/>
              <w:rPr>
                <w:rFonts w:asciiTheme="minorHAnsi" w:hAnsiTheme="minorHAnsi" w:cstheme="minorHAnsi"/>
                <w:color w:val="000000"/>
                <w:sz w:val="18"/>
                <w:szCs w:val="18"/>
              </w:rPr>
            </w:pPr>
            <w:r>
              <w:rPr>
                <w:rFonts w:asciiTheme="minorHAnsi" w:hAnsiTheme="minorHAnsi" w:cstheme="minorHAnsi"/>
                <w:color w:val="000000"/>
                <w:sz w:val="18"/>
                <w:szCs w:val="18"/>
              </w:rPr>
              <w:t>Added</w:t>
            </w:r>
          </w:p>
        </w:tc>
      </w:tr>
      <w:tr w:rsidR="009C6787" w:rsidRPr="00BD047C" w:rsidTr="00BD047C">
        <w:trPr>
          <w:trHeight w:val="96"/>
        </w:trPr>
        <w:tc>
          <w:tcPr>
            <w:tcW w:w="467" w:type="pct"/>
            <w:vMerge/>
          </w:tcPr>
          <w:p w:rsidR="009C6787" w:rsidRPr="00BD047C" w:rsidRDefault="009C6787" w:rsidP="00D368E3">
            <w:pPr>
              <w:jc w:val="both"/>
              <w:rPr>
                <w:rFonts w:asciiTheme="minorHAnsi" w:eastAsia="Times New Roman" w:hAnsiTheme="minorHAnsi" w:cstheme="minorHAnsi"/>
                <w:b/>
                <w:bCs/>
                <w:sz w:val="18"/>
                <w:szCs w:val="18"/>
              </w:rPr>
            </w:pPr>
          </w:p>
        </w:tc>
        <w:tc>
          <w:tcPr>
            <w:tcW w:w="1133" w:type="pct"/>
            <w:vMerge/>
          </w:tcPr>
          <w:p w:rsidR="009C6787" w:rsidRPr="00BD047C" w:rsidRDefault="009C6787" w:rsidP="00D368E3">
            <w:pPr>
              <w:rPr>
                <w:rFonts w:asciiTheme="minorHAnsi" w:hAnsiTheme="minorHAnsi" w:cstheme="minorHAnsi"/>
                <w:b/>
                <w:sz w:val="18"/>
                <w:szCs w:val="18"/>
              </w:rPr>
            </w:pPr>
          </w:p>
        </w:tc>
        <w:tc>
          <w:tcPr>
            <w:tcW w:w="2136" w:type="pct"/>
          </w:tcPr>
          <w:p w:rsidR="009C6787" w:rsidRPr="00BD047C" w:rsidRDefault="009C6787" w:rsidP="00D368E3">
            <w:pPr>
              <w:rPr>
                <w:rFonts w:asciiTheme="minorHAnsi" w:hAnsiTheme="minorHAnsi" w:cstheme="minorHAnsi"/>
                <w:color w:val="000000"/>
                <w:sz w:val="18"/>
                <w:szCs w:val="18"/>
              </w:rPr>
            </w:pPr>
            <w:r>
              <w:rPr>
                <w:rFonts w:asciiTheme="minorHAnsi" w:hAnsiTheme="minorHAnsi" w:cstheme="minorHAnsi"/>
                <w:color w:val="000000"/>
                <w:sz w:val="18"/>
                <w:szCs w:val="18"/>
              </w:rPr>
              <w:t>Citalopram, oral</w:t>
            </w:r>
          </w:p>
        </w:tc>
        <w:tc>
          <w:tcPr>
            <w:tcW w:w="1264" w:type="pct"/>
          </w:tcPr>
          <w:p w:rsidR="009C6787" w:rsidRPr="00BD047C" w:rsidRDefault="009C6787" w:rsidP="00D368E3">
            <w:pPr>
              <w:jc w:val="both"/>
              <w:rPr>
                <w:rFonts w:asciiTheme="minorHAnsi" w:hAnsiTheme="minorHAnsi" w:cstheme="minorHAnsi"/>
                <w:color w:val="000000"/>
                <w:sz w:val="18"/>
                <w:szCs w:val="18"/>
              </w:rPr>
            </w:pPr>
            <w:r>
              <w:rPr>
                <w:rFonts w:asciiTheme="minorHAnsi" w:hAnsiTheme="minorHAnsi" w:cstheme="minorHAnsi"/>
                <w:color w:val="000000"/>
                <w:sz w:val="18"/>
                <w:szCs w:val="18"/>
              </w:rPr>
              <w:t>Added</w:t>
            </w:r>
          </w:p>
        </w:tc>
      </w:tr>
      <w:tr w:rsidR="009C6787" w:rsidRPr="00BD047C" w:rsidTr="00BD047C">
        <w:trPr>
          <w:trHeight w:val="96"/>
        </w:trPr>
        <w:tc>
          <w:tcPr>
            <w:tcW w:w="467" w:type="pct"/>
            <w:vMerge/>
          </w:tcPr>
          <w:p w:rsidR="009C6787" w:rsidRPr="00BD047C" w:rsidRDefault="009C6787" w:rsidP="00D368E3">
            <w:pPr>
              <w:jc w:val="both"/>
              <w:rPr>
                <w:rFonts w:asciiTheme="minorHAnsi" w:eastAsia="Times New Roman" w:hAnsiTheme="minorHAnsi" w:cstheme="minorHAnsi"/>
                <w:b/>
                <w:bCs/>
                <w:sz w:val="18"/>
                <w:szCs w:val="18"/>
              </w:rPr>
            </w:pPr>
          </w:p>
        </w:tc>
        <w:tc>
          <w:tcPr>
            <w:tcW w:w="1133" w:type="pct"/>
            <w:vMerge/>
          </w:tcPr>
          <w:p w:rsidR="009C6787" w:rsidRPr="00BD047C" w:rsidRDefault="009C6787" w:rsidP="00D368E3">
            <w:pPr>
              <w:rPr>
                <w:rFonts w:asciiTheme="minorHAnsi" w:hAnsiTheme="minorHAnsi" w:cstheme="minorHAnsi"/>
                <w:b/>
                <w:sz w:val="18"/>
                <w:szCs w:val="18"/>
              </w:rPr>
            </w:pPr>
          </w:p>
        </w:tc>
        <w:tc>
          <w:tcPr>
            <w:tcW w:w="2136" w:type="pct"/>
          </w:tcPr>
          <w:p w:rsidR="009C6787" w:rsidRPr="00BD047C" w:rsidRDefault="009C6787" w:rsidP="00D368E3">
            <w:pPr>
              <w:rPr>
                <w:rFonts w:asciiTheme="minorHAnsi" w:hAnsiTheme="minorHAnsi" w:cstheme="minorHAnsi"/>
                <w:color w:val="000000"/>
                <w:sz w:val="18"/>
                <w:szCs w:val="18"/>
              </w:rPr>
            </w:pPr>
            <w:r w:rsidRPr="009C6787">
              <w:rPr>
                <w:rFonts w:asciiTheme="minorHAnsi" w:hAnsiTheme="minorHAnsi" w:cstheme="minorHAnsi"/>
                <w:color w:val="000000"/>
                <w:sz w:val="18"/>
                <w:szCs w:val="18"/>
              </w:rPr>
              <w:t>Amitriptyline</w:t>
            </w:r>
          </w:p>
        </w:tc>
        <w:tc>
          <w:tcPr>
            <w:tcW w:w="1264" w:type="pct"/>
          </w:tcPr>
          <w:p w:rsidR="009C6787" w:rsidRPr="00BD047C" w:rsidRDefault="009C6787" w:rsidP="00D368E3">
            <w:pPr>
              <w:jc w:val="both"/>
              <w:rPr>
                <w:rFonts w:asciiTheme="minorHAnsi" w:hAnsiTheme="minorHAnsi" w:cstheme="minorHAnsi"/>
                <w:color w:val="000000"/>
                <w:sz w:val="18"/>
                <w:szCs w:val="18"/>
              </w:rPr>
            </w:pPr>
            <w:r>
              <w:rPr>
                <w:rFonts w:asciiTheme="minorHAnsi" w:hAnsiTheme="minorHAnsi" w:cstheme="minorHAnsi"/>
                <w:color w:val="000000"/>
                <w:sz w:val="18"/>
                <w:szCs w:val="18"/>
              </w:rPr>
              <w:t>Added</w:t>
            </w:r>
          </w:p>
        </w:tc>
      </w:tr>
      <w:tr w:rsidR="009C6787" w:rsidRPr="00BD047C" w:rsidTr="00BD047C">
        <w:trPr>
          <w:trHeight w:val="96"/>
        </w:trPr>
        <w:tc>
          <w:tcPr>
            <w:tcW w:w="467" w:type="pct"/>
            <w:vMerge w:val="restart"/>
          </w:tcPr>
          <w:p w:rsidR="009C6787" w:rsidRPr="00BD047C" w:rsidRDefault="009C6787" w:rsidP="00D368E3">
            <w:pPr>
              <w:jc w:val="both"/>
              <w:rPr>
                <w:rFonts w:eastAsia="Times New Roman" w:cstheme="minorHAnsi"/>
                <w:b/>
                <w:bCs/>
                <w:sz w:val="18"/>
                <w:szCs w:val="18"/>
              </w:rPr>
            </w:pPr>
            <w:r>
              <w:rPr>
                <w:rFonts w:eastAsia="Times New Roman" w:cstheme="minorHAnsi"/>
                <w:b/>
                <w:bCs/>
                <w:sz w:val="18"/>
                <w:szCs w:val="18"/>
              </w:rPr>
              <w:t>22.3.1</w:t>
            </w:r>
          </w:p>
        </w:tc>
        <w:tc>
          <w:tcPr>
            <w:tcW w:w="1133" w:type="pct"/>
            <w:vMerge w:val="restart"/>
          </w:tcPr>
          <w:p w:rsidR="009C6787" w:rsidRPr="00BD047C" w:rsidRDefault="009C6787" w:rsidP="00D368E3">
            <w:pPr>
              <w:rPr>
                <w:rFonts w:cstheme="minorHAnsi"/>
                <w:b/>
                <w:sz w:val="18"/>
                <w:szCs w:val="18"/>
              </w:rPr>
            </w:pPr>
            <w:r>
              <w:rPr>
                <w:rFonts w:cstheme="minorHAnsi"/>
                <w:b/>
                <w:sz w:val="18"/>
                <w:szCs w:val="18"/>
              </w:rPr>
              <w:t>Dyspnoea</w:t>
            </w:r>
          </w:p>
        </w:tc>
        <w:tc>
          <w:tcPr>
            <w:tcW w:w="2136" w:type="pct"/>
          </w:tcPr>
          <w:p w:rsidR="009C6787" w:rsidRPr="00BD047C" w:rsidRDefault="009C6787" w:rsidP="00D368E3">
            <w:pPr>
              <w:rPr>
                <w:rFonts w:cstheme="minorHAnsi"/>
                <w:color w:val="000000"/>
                <w:sz w:val="18"/>
                <w:szCs w:val="18"/>
              </w:rPr>
            </w:pPr>
            <w:r>
              <w:rPr>
                <w:rFonts w:cstheme="minorHAnsi"/>
                <w:color w:val="000000"/>
                <w:sz w:val="18"/>
                <w:szCs w:val="18"/>
              </w:rPr>
              <w:t>Morphine syrup</w:t>
            </w:r>
          </w:p>
        </w:tc>
        <w:tc>
          <w:tcPr>
            <w:tcW w:w="1264" w:type="pct"/>
          </w:tcPr>
          <w:p w:rsidR="009C6787" w:rsidRPr="00BD047C" w:rsidRDefault="009C6787" w:rsidP="00D368E3">
            <w:pPr>
              <w:jc w:val="both"/>
              <w:rPr>
                <w:rFonts w:cstheme="minorHAnsi"/>
                <w:color w:val="000000"/>
                <w:sz w:val="18"/>
                <w:szCs w:val="18"/>
              </w:rPr>
            </w:pPr>
            <w:r>
              <w:rPr>
                <w:rFonts w:cstheme="minorHAnsi"/>
                <w:color w:val="000000"/>
                <w:sz w:val="18"/>
                <w:szCs w:val="18"/>
              </w:rPr>
              <w:t>Added</w:t>
            </w:r>
          </w:p>
        </w:tc>
      </w:tr>
      <w:tr w:rsidR="009C6787" w:rsidRPr="00BD047C" w:rsidTr="00BD047C">
        <w:trPr>
          <w:trHeight w:val="96"/>
        </w:trPr>
        <w:tc>
          <w:tcPr>
            <w:tcW w:w="467" w:type="pct"/>
            <w:vMerge/>
          </w:tcPr>
          <w:p w:rsidR="009C6787" w:rsidRPr="00BD047C" w:rsidRDefault="009C6787" w:rsidP="00D368E3">
            <w:pPr>
              <w:jc w:val="both"/>
              <w:rPr>
                <w:rFonts w:eastAsia="Times New Roman" w:cstheme="minorHAnsi"/>
                <w:b/>
                <w:bCs/>
                <w:sz w:val="18"/>
                <w:szCs w:val="18"/>
              </w:rPr>
            </w:pPr>
          </w:p>
        </w:tc>
        <w:tc>
          <w:tcPr>
            <w:tcW w:w="1133" w:type="pct"/>
            <w:vMerge/>
          </w:tcPr>
          <w:p w:rsidR="009C6787" w:rsidRDefault="009C6787" w:rsidP="00D368E3">
            <w:pPr>
              <w:rPr>
                <w:rFonts w:cstheme="minorHAnsi"/>
                <w:b/>
                <w:sz w:val="18"/>
                <w:szCs w:val="18"/>
              </w:rPr>
            </w:pPr>
          </w:p>
        </w:tc>
        <w:tc>
          <w:tcPr>
            <w:tcW w:w="2136" w:type="pct"/>
          </w:tcPr>
          <w:p w:rsidR="009C6787" w:rsidRPr="00BD047C" w:rsidRDefault="009C6787" w:rsidP="00D368E3">
            <w:pPr>
              <w:rPr>
                <w:rFonts w:cstheme="minorHAnsi"/>
                <w:color w:val="000000"/>
                <w:sz w:val="18"/>
                <w:szCs w:val="18"/>
              </w:rPr>
            </w:pPr>
            <w:r>
              <w:rPr>
                <w:rFonts w:cstheme="minorHAnsi"/>
                <w:color w:val="000000"/>
                <w:sz w:val="18"/>
                <w:szCs w:val="18"/>
              </w:rPr>
              <w:t>Oxygen (home-based)</w:t>
            </w:r>
          </w:p>
        </w:tc>
        <w:tc>
          <w:tcPr>
            <w:tcW w:w="1264" w:type="pct"/>
          </w:tcPr>
          <w:p w:rsidR="009C6787" w:rsidRPr="00BD047C" w:rsidRDefault="009C6787" w:rsidP="00D368E3">
            <w:pPr>
              <w:jc w:val="both"/>
              <w:rPr>
                <w:rFonts w:cstheme="minorHAnsi"/>
                <w:color w:val="000000"/>
                <w:sz w:val="18"/>
                <w:szCs w:val="18"/>
              </w:rPr>
            </w:pPr>
            <w:r>
              <w:rPr>
                <w:rFonts w:cstheme="minorHAnsi"/>
                <w:color w:val="000000"/>
                <w:sz w:val="18"/>
                <w:szCs w:val="18"/>
              </w:rPr>
              <w:t>Not added</w:t>
            </w:r>
          </w:p>
        </w:tc>
      </w:tr>
      <w:tr w:rsidR="00D368E3" w:rsidRPr="00BD047C" w:rsidTr="00BD047C">
        <w:trPr>
          <w:trHeight w:val="96"/>
        </w:trPr>
        <w:tc>
          <w:tcPr>
            <w:tcW w:w="467" w:type="pct"/>
            <w:vMerge w:val="restart"/>
          </w:tcPr>
          <w:p w:rsidR="00D368E3" w:rsidRPr="00BD047C" w:rsidRDefault="00D368E3" w:rsidP="00D368E3">
            <w:pPr>
              <w:jc w:val="both"/>
              <w:rPr>
                <w:rFonts w:eastAsia="Times New Roman" w:cstheme="minorHAnsi"/>
                <w:b/>
                <w:bCs/>
                <w:sz w:val="18"/>
                <w:szCs w:val="18"/>
              </w:rPr>
            </w:pPr>
            <w:r>
              <w:rPr>
                <w:rFonts w:eastAsia="Times New Roman" w:cstheme="minorHAnsi"/>
                <w:b/>
                <w:bCs/>
                <w:sz w:val="18"/>
                <w:szCs w:val="18"/>
              </w:rPr>
              <w:t xml:space="preserve">Not added </w:t>
            </w:r>
          </w:p>
        </w:tc>
        <w:tc>
          <w:tcPr>
            <w:tcW w:w="1133" w:type="pct"/>
          </w:tcPr>
          <w:p w:rsidR="00D368E3" w:rsidRDefault="00D368E3" w:rsidP="00D368E3">
            <w:pPr>
              <w:rPr>
                <w:rFonts w:cstheme="minorHAnsi"/>
                <w:b/>
                <w:sz w:val="18"/>
                <w:szCs w:val="18"/>
              </w:rPr>
            </w:pPr>
            <w:r>
              <w:rPr>
                <w:rFonts w:cstheme="minorHAnsi"/>
                <w:b/>
                <w:sz w:val="18"/>
                <w:szCs w:val="18"/>
              </w:rPr>
              <w:t>Fatigue</w:t>
            </w:r>
          </w:p>
        </w:tc>
        <w:tc>
          <w:tcPr>
            <w:tcW w:w="2136" w:type="pct"/>
            <w:vMerge w:val="restart"/>
          </w:tcPr>
          <w:p w:rsidR="00D368E3" w:rsidRDefault="00D368E3" w:rsidP="00D368E3">
            <w:pPr>
              <w:rPr>
                <w:rFonts w:cstheme="minorHAnsi"/>
                <w:color w:val="000000"/>
                <w:sz w:val="18"/>
                <w:szCs w:val="18"/>
              </w:rPr>
            </w:pPr>
          </w:p>
          <w:p w:rsidR="00D368E3" w:rsidRPr="00BD047C" w:rsidRDefault="00D368E3" w:rsidP="00D368E3">
            <w:pPr>
              <w:rPr>
                <w:rFonts w:cstheme="minorHAnsi"/>
                <w:color w:val="000000"/>
                <w:sz w:val="18"/>
                <w:szCs w:val="18"/>
              </w:rPr>
            </w:pPr>
            <w:r w:rsidRPr="00D368E3">
              <w:rPr>
                <w:rFonts w:cstheme="minorHAnsi"/>
                <w:color w:val="000000"/>
                <w:sz w:val="18"/>
                <w:szCs w:val="18"/>
              </w:rPr>
              <w:t>Betamethasone/dexamethasone, oral</w:t>
            </w:r>
          </w:p>
        </w:tc>
        <w:tc>
          <w:tcPr>
            <w:tcW w:w="1264" w:type="pct"/>
          </w:tcPr>
          <w:p w:rsidR="00D368E3" w:rsidRPr="00BD047C" w:rsidRDefault="00D368E3" w:rsidP="00D368E3">
            <w:pPr>
              <w:jc w:val="both"/>
              <w:rPr>
                <w:rFonts w:cstheme="minorHAnsi"/>
                <w:color w:val="000000"/>
                <w:sz w:val="18"/>
                <w:szCs w:val="18"/>
              </w:rPr>
            </w:pPr>
            <w:r>
              <w:rPr>
                <w:rFonts w:cstheme="minorHAnsi"/>
                <w:color w:val="000000"/>
                <w:sz w:val="18"/>
                <w:szCs w:val="18"/>
              </w:rPr>
              <w:t>Not added</w:t>
            </w:r>
          </w:p>
        </w:tc>
      </w:tr>
      <w:tr w:rsidR="00D368E3" w:rsidRPr="00BD047C" w:rsidTr="00BD047C">
        <w:trPr>
          <w:trHeight w:val="96"/>
        </w:trPr>
        <w:tc>
          <w:tcPr>
            <w:tcW w:w="467" w:type="pct"/>
            <w:vMerge/>
          </w:tcPr>
          <w:p w:rsidR="00D368E3" w:rsidRPr="00BD047C" w:rsidRDefault="00D368E3" w:rsidP="00D368E3">
            <w:pPr>
              <w:jc w:val="both"/>
              <w:rPr>
                <w:rFonts w:eastAsia="Times New Roman" w:cstheme="minorHAnsi"/>
                <w:b/>
                <w:bCs/>
                <w:sz w:val="18"/>
                <w:szCs w:val="18"/>
              </w:rPr>
            </w:pPr>
          </w:p>
        </w:tc>
        <w:tc>
          <w:tcPr>
            <w:tcW w:w="1133" w:type="pct"/>
          </w:tcPr>
          <w:p w:rsidR="00D368E3" w:rsidRDefault="00D368E3" w:rsidP="00D368E3">
            <w:pPr>
              <w:rPr>
                <w:rFonts w:cstheme="minorHAnsi"/>
                <w:b/>
                <w:sz w:val="18"/>
                <w:szCs w:val="18"/>
              </w:rPr>
            </w:pPr>
            <w:r>
              <w:rPr>
                <w:rFonts w:cstheme="minorHAnsi"/>
                <w:b/>
                <w:sz w:val="18"/>
                <w:szCs w:val="18"/>
              </w:rPr>
              <w:t>Anorexia/cachexia</w:t>
            </w:r>
          </w:p>
        </w:tc>
        <w:tc>
          <w:tcPr>
            <w:tcW w:w="2136" w:type="pct"/>
            <w:vMerge/>
          </w:tcPr>
          <w:p w:rsidR="00D368E3" w:rsidRPr="00BD047C" w:rsidRDefault="00D368E3" w:rsidP="00D368E3">
            <w:pPr>
              <w:rPr>
                <w:rFonts w:cstheme="minorHAnsi"/>
                <w:color w:val="000000"/>
                <w:sz w:val="18"/>
                <w:szCs w:val="18"/>
              </w:rPr>
            </w:pPr>
          </w:p>
        </w:tc>
        <w:tc>
          <w:tcPr>
            <w:tcW w:w="1264" w:type="pct"/>
          </w:tcPr>
          <w:p w:rsidR="00D368E3" w:rsidRPr="00BD047C" w:rsidRDefault="00D368E3" w:rsidP="00D368E3">
            <w:pPr>
              <w:jc w:val="both"/>
              <w:rPr>
                <w:rFonts w:cstheme="minorHAnsi"/>
                <w:color w:val="000000"/>
                <w:sz w:val="18"/>
                <w:szCs w:val="18"/>
              </w:rPr>
            </w:pPr>
            <w:r>
              <w:rPr>
                <w:rFonts w:cstheme="minorHAnsi"/>
                <w:color w:val="000000"/>
                <w:sz w:val="18"/>
                <w:szCs w:val="18"/>
              </w:rPr>
              <w:t>Not added</w:t>
            </w:r>
          </w:p>
        </w:tc>
      </w:tr>
    </w:tbl>
    <w:p w:rsidR="004E303A" w:rsidRDefault="004E303A" w:rsidP="00D368E3">
      <w:pPr>
        <w:pStyle w:val="ListParagraph"/>
        <w:autoSpaceDE w:val="0"/>
        <w:autoSpaceDN w:val="0"/>
        <w:adjustRightInd w:val="0"/>
        <w:ind w:left="0"/>
        <w:jc w:val="both"/>
        <w:rPr>
          <w:rFonts w:asciiTheme="minorHAnsi" w:hAnsiTheme="minorHAnsi" w:cstheme="minorHAnsi"/>
          <w:bCs/>
          <w:sz w:val="22"/>
          <w:szCs w:val="22"/>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4E303A" w:rsidRPr="00554428" w:rsidTr="00867C42">
        <w:tc>
          <w:tcPr>
            <w:tcW w:w="9242" w:type="dxa"/>
            <w:tcBorders>
              <w:top w:val="double" w:sz="4" w:space="0" w:color="C0C0C0"/>
              <w:left w:val="double" w:sz="4" w:space="0" w:color="C0C0C0"/>
              <w:bottom w:val="double" w:sz="4" w:space="0" w:color="C0C0C0"/>
              <w:right w:val="double" w:sz="4" w:space="0" w:color="C0C0C0"/>
            </w:tcBorders>
          </w:tcPr>
          <w:p w:rsidR="004E303A" w:rsidRPr="00554428" w:rsidRDefault="004E303A" w:rsidP="00D368E3">
            <w:pPr>
              <w:widowControl w:val="0"/>
              <w:autoSpaceDE w:val="0"/>
              <w:autoSpaceDN w:val="0"/>
              <w:adjustRightInd w:val="0"/>
              <w:spacing w:before="120" w:after="120" w:line="240" w:lineRule="auto"/>
              <w:rPr>
                <w:rFonts w:cstheme="minorHAnsi"/>
                <w:b/>
              </w:rPr>
            </w:pPr>
            <w:r w:rsidRPr="004E303A">
              <w:rPr>
                <w:rFonts w:cstheme="minorHAnsi"/>
                <w:b/>
              </w:rPr>
              <w:t>22.1.1 CONSTIPATION</w:t>
            </w:r>
          </w:p>
        </w:tc>
      </w:tr>
    </w:tbl>
    <w:p w:rsidR="004E303A" w:rsidRPr="002626F0" w:rsidRDefault="004E303A" w:rsidP="00D368E3">
      <w:pPr>
        <w:pStyle w:val="ListParagraph"/>
        <w:autoSpaceDE w:val="0"/>
        <w:autoSpaceDN w:val="0"/>
        <w:adjustRightInd w:val="0"/>
        <w:ind w:left="0"/>
        <w:jc w:val="both"/>
        <w:rPr>
          <w:rFonts w:asciiTheme="minorHAnsi" w:hAnsiTheme="minorHAnsi" w:cstheme="minorHAnsi"/>
          <w:color w:val="000000"/>
          <w:sz w:val="22"/>
          <w:lang w:eastAsia="en-US"/>
        </w:rPr>
      </w:pPr>
      <w:r w:rsidRPr="002626F0">
        <w:rPr>
          <w:rFonts w:asciiTheme="minorHAnsi" w:hAnsiTheme="minorHAnsi" w:cstheme="minorHAnsi"/>
          <w:color w:val="000000"/>
          <w:sz w:val="22"/>
          <w:u w:val="single"/>
          <w:lang w:eastAsia="en-US"/>
        </w:rPr>
        <w:t>Sennosides A and B</w:t>
      </w:r>
      <w:r w:rsidRPr="002626F0">
        <w:rPr>
          <w:rFonts w:asciiTheme="minorHAnsi" w:hAnsiTheme="minorHAnsi" w:cstheme="minorHAnsi"/>
          <w:color w:val="000000"/>
          <w:sz w:val="22"/>
          <w:u w:val="single"/>
          <w:lang w:val="en-US" w:eastAsia="en-US"/>
        </w:rPr>
        <w:t>,</w:t>
      </w:r>
      <w:r w:rsidRPr="002626F0">
        <w:rPr>
          <w:rFonts w:asciiTheme="minorHAnsi" w:hAnsiTheme="minorHAnsi" w:cstheme="minorHAnsi"/>
          <w:color w:val="000000"/>
          <w:sz w:val="22"/>
          <w:u w:val="single"/>
          <w:lang w:eastAsia="en-US"/>
        </w:rPr>
        <w:t xml:space="preserve"> oral</w:t>
      </w:r>
      <w:r w:rsidRPr="002626F0">
        <w:rPr>
          <w:rFonts w:asciiTheme="minorHAnsi" w:hAnsiTheme="minorHAnsi" w:cstheme="minorHAnsi"/>
          <w:color w:val="000000"/>
          <w:sz w:val="22"/>
          <w:lang w:eastAsia="en-US"/>
        </w:rPr>
        <w:t xml:space="preserve">: </w:t>
      </w:r>
      <w:r w:rsidRPr="002626F0">
        <w:rPr>
          <w:rFonts w:asciiTheme="minorHAnsi" w:hAnsiTheme="minorHAnsi" w:cstheme="minorHAnsi"/>
          <w:i/>
          <w:color w:val="000000"/>
          <w:sz w:val="22"/>
          <w:lang w:eastAsia="en-US"/>
        </w:rPr>
        <w:t>added</w:t>
      </w:r>
    </w:p>
    <w:p w:rsidR="004E303A" w:rsidRPr="002626F0" w:rsidRDefault="004E303A" w:rsidP="00D368E3">
      <w:pPr>
        <w:pStyle w:val="ListParagraph"/>
        <w:autoSpaceDE w:val="0"/>
        <w:autoSpaceDN w:val="0"/>
        <w:adjustRightInd w:val="0"/>
        <w:ind w:left="0"/>
        <w:jc w:val="both"/>
        <w:rPr>
          <w:rFonts w:asciiTheme="minorHAnsi" w:hAnsiTheme="minorHAnsi" w:cstheme="minorHAnsi"/>
          <w:color w:val="000000"/>
          <w:sz w:val="22"/>
          <w:lang w:eastAsia="en-US"/>
        </w:rPr>
      </w:pPr>
      <w:r w:rsidRPr="002626F0">
        <w:rPr>
          <w:rFonts w:asciiTheme="minorHAnsi" w:hAnsiTheme="minorHAnsi" w:cstheme="minorHAnsi"/>
          <w:color w:val="000000"/>
          <w:sz w:val="22"/>
          <w:u w:val="single"/>
          <w:lang w:eastAsia="en-US"/>
        </w:rPr>
        <w:t>Lactulose, oral</w:t>
      </w:r>
      <w:r w:rsidRPr="002626F0">
        <w:rPr>
          <w:rFonts w:asciiTheme="minorHAnsi" w:hAnsiTheme="minorHAnsi" w:cstheme="minorHAnsi"/>
          <w:color w:val="000000"/>
          <w:sz w:val="22"/>
          <w:lang w:eastAsia="en-US"/>
        </w:rPr>
        <w:t xml:space="preserve">: </w:t>
      </w:r>
      <w:r w:rsidRPr="002626F0">
        <w:rPr>
          <w:rFonts w:asciiTheme="minorHAnsi" w:hAnsiTheme="minorHAnsi" w:cstheme="minorHAnsi"/>
          <w:i/>
          <w:color w:val="000000"/>
          <w:sz w:val="22"/>
          <w:lang w:eastAsia="en-US"/>
        </w:rPr>
        <w:t>added</w:t>
      </w:r>
    </w:p>
    <w:p w:rsidR="002626F0" w:rsidRPr="002626F0" w:rsidRDefault="002626F0" w:rsidP="00D368E3">
      <w:pPr>
        <w:pStyle w:val="ListParagraph"/>
        <w:autoSpaceDE w:val="0"/>
        <w:autoSpaceDN w:val="0"/>
        <w:adjustRightInd w:val="0"/>
        <w:ind w:left="0"/>
        <w:jc w:val="both"/>
        <w:rPr>
          <w:rFonts w:asciiTheme="minorHAnsi" w:hAnsiTheme="minorHAnsi" w:cstheme="minorHAnsi"/>
          <w:color w:val="000000"/>
          <w:sz w:val="22"/>
          <w:lang w:eastAsia="en-US"/>
        </w:rPr>
      </w:pPr>
      <w:r w:rsidRPr="002626F0">
        <w:rPr>
          <w:rFonts w:asciiTheme="minorHAnsi" w:hAnsiTheme="minorHAnsi" w:cstheme="minorHAnsi"/>
          <w:color w:val="000000"/>
          <w:sz w:val="22"/>
          <w:u w:val="single"/>
          <w:lang w:eastAsia="en-US"/>
        </w:rPr>
        <w:t>Glycerine suppositories</w:t>
      </w:r>
      <w:r w:rsidRPr="002626F0">
        <w:rPr>
          <w:rFonts w:asciiTheme="minorHAnsi" w:hAnsiTheme="minorHAnsi" w:cstheme="minorHAnsi"/>
          <w:color w:val="000000"/>
          <w:sz w:val="22"/>
          <w:lang w:eastAsia="en-US"/>
        </w:rPr>
        <w:t xml:space="preserve">: </w:t>
      </w:r>
      <w:r w:rsidRPr="002626F0">
        <w:rPr>
          <w:rFonts w:asciiTheme="minorHAnsi" w:hAnsiTheme="minorHAnsi" w:cstheme="minorHAnsi"/>
          <w:i/>
          <w:color w:val="000000"/>
          <w:sz w:val="22"/>
          <w:lang w:eastAsia="en-US"/>
        </w:rPr>
        <w:t>not added</w:t>
      </w:r>
    </w:p>
    <w:p w:rsidR="002626F0" w:rsidRPr="002626F0" w:rsidRDefault="002626F0" w:rsidP="00D368E3">
      <w:pPr>
        <w:pStyle w:val="ListParagraph"/>
        <w:autoSpaceDE w:val="0"/>
        <w:autoSpaceDN w:val="0"/>
        <w:adjustRightInd w:val="0"/>
        <w:ind w:left="0"/>
        <w:jc w:val="both"/>
        <w:rPr>
          <w:rFonts w:asciiTheme="minorHAnsi" w:hAnsiTheme="minorHAnsi" w:cstheme="minorHAnsi"/>
          <w:color w:val="000000"/>
          <w:sz w:val="22"/>
          <w:lang w:eastAsia="en-US"/>
        </w:rPr>
      </w:pPr>
      <w:r w:rsidRPr="002626F0">
        <w:rPr>
          <w:rFonts w:asciiTheme="minorHAnsi" w:hAnsiTheme="minorHAnsi" w:cstheme="minorHAnsi"/>
          <w:color w:val="000000"/>
          <w:sz w:val="22"/>
          <w:u w:val="single"/>
          <w:lang w:eastAsia="en-US"/>
        </w:rPr>
        <w:t>Phosphate enemas</w:t>
      </w:r>
      <w:r w:rsidRPr="002626F0">
        <w:rPr>
          <w:rFonts w:asciiTheme="minorHAnsi" w:hAnsiTheme="minorHAnsi" w:cstheme="minorHAnsi"/>
          <w:color w:val="000000"/>
          <w:sz w:val="22"/>
          <w:lang w:eastAsia="en-US"/>
        </w:rPr>
        <w:t xml:space="preserve">: not </w:t>
      </w:r>
      <w:r w:rsidRPr="002626F0">
        <w:rPr>
          <w:rFonts w:asciiTheme="minorHAnsi" w:hAnsiTheme="minorHAnsi" w:cstheme="minorHAnsi"/>
          <w:i/>
          <w:color w:val="000000"/>
          <w:sz w:val="22"/>
          <w:lang w:eastAsia="en-US"/>
        </w:rPr>
        <w:t>added</w:t>
      </w:r>
    </w:p>
    <w:p w:rsidR="002626F0" w:rsidRPr="002626F0" w:rsidRDefault="002626F0" w:rsidP="00D368E3">
      <w:pPr>
        <w:pStyle w:val="ListParagraph"/>
        <w:autoSpaceDE w:val="0"/>
        <w:autoSpaceDN w:val="0"/>
        <w:adjustRightInd w:val="0"/>
        <w:ind w:left="0"/>
        <w:jc w:val="both"/>
        <w:rPr>
          <w:rFonts w:asciiTheme="minorHAnsi" w:hAnsiTheme="minorHAnsi" w:cstheme="minorHAnsi"/>
          <w:color w:val="000000"/>
          <w:sz w:val="22"/>
          <w:lang w:eastAsia="en-US"/>
        </w:rPr>
      </w:pPr>
      <w:r w:rsidRPr="002626F0">
        <w:rPr>
          <w:rFonts w:asciiTheme="minorHAnsi" w:hAnsiTheme="minorHAnsi" w:cstheme="minorHAnsi"/>
          <w:color w:val="000000"/>
          <w:sz w:val="22"/>
          <w:u w:val="single"/>
          <w:lang w:eastAsia="en-US"/>
        </w:rPr>
        <w:t>Bisacodyl suppositories</w:t>
      </w:r>
      <w:r w:rsidRPr="002626F0">
        <w:rPr>
          <w:rFonts w:asciiTheme="minorHAnsi" w:hAnsiTheme="minorHAnsi" w:cstheme="minorHAnsi"/>
          <w:color w:val="000000"/>
          <w:sz w:val="22"/>
          <w:lang w:eastAsia="en-US"/>
        </w:rPr>
        <w:t xml:space="preserve">: </w:t>
      </w:r>
      <w:r w:rsidRPr="002626F0">
        <w:rPr>
          <w:rFonts w:asciiTheme="minorHAnsi" w:hAnsiTheme="minorHAnsi" w:cstheme="minorHAnsi"/>
          <w:i/>
          <w:color w:val="000000"/>
          <w:sz w:val="22"/>
          <w:lang w:eastAsia="en-US"/>
        </w:rPr>
        <w:t>not added</w:t>
      </w:r>
    </w:p>
    <w:p w:rsidR="004E303A" w:rsidRDefault="004E303A" w:rsidP="00D368E3">
      <w:pPr>
        <w:pStyle w:val="ListParagraph"/>
        <w:autoSpaceDE w:val="0"/>
        <w:autoSpaceDN w:val="0"/>
        <w:adjustRightInd w:val="0"/>
        <w:ind w:left="0"/>
        <w:jc w:val="both"/>
        <w:rPr>
          <w:rFonts w:asciiTheme="minorHAnsi" w:hAnsiTheme="minorHAnsi" w:cstheme="minorHAnsi"/>
          <w:bCs/>
          <w:sz w:val="22"/>
          <w:szCs w:val="22"/>
          <w:u w:val="single"/>
        </w:rPr>
      </w:pPr>
    </w:p>
    <w:p w:rsidR="002626F0" w:rsidRPr="002626F0" w:rsidRDefault="002626F0" w:rsidP="00D368E3">
      <w:pPr>
        <w:pStyle w:val="ListParagraph"/>
        <w:autoSpaceDE w:val="0"/>
        <w:autoSpaceDN w:val="0"/>
        <w:adjustRightInd w:val="0"/>
        <w:ind w:left="0"/>
        <w:jc w:val="both"/>
        <w:rPr>
          <w:rFonts w:asciiTheme="minorHAnsi" w:hAnsiTheme="minorHAnsi" w:cstheme="minorHAnsi"/>
          <w:bCs/>
          <w:sz w:val="22"/>
          <w:szCs w:val="22"/>
        </w:rPr>
      </w:pPr>
      <w:r w:rsidRPr="002626F0">
        <w:rPr>
          <w:rFonts w:asciiTheme="minorHAnsi" w:hAnsiTheme="minorHAnsi" w:cstheme="minorHAnsi"/>
          <w:bCs/>
          <w:i/>
          <w:sz w:val="22"/>
          <w:szCs w:val="22"/>
        </w:rPr>
        <w:t>Sennosides, lactulose, oral:</w:t>
      </w:r>
      <w:r w:rsidRPr="002626F0">
        <w:rPr>
          <w:rFonts w:asciiTheme="minorHAnsi" w:hAnsiTheme="minorHAnsi" w:cstheme="minorHAnsi"/>
          <w:bCs/>
          <w:sz w:val="22"/>
          <w:szCs w:val="22"/>
        </w:rPr>
        <w:t xml:space="preserve">Recommendations for sennosides A and B, oral and lactulose, oral was aligned </w:t>
      </w:r>
      <w:r w:rsidR="00867C42">
        <w:rPr>
          <w:rFonts w:asciiTheme="minorHAnsi" w:hAnsiTheme="minorHAnsi" w:cstheme="minorHAnsi"/>
          <w:bCs/>
          <w:sz w:val="22"/>
          <w:szCs w:val="22"/>
        </w:rPr>
        <w:t>with</w:t>
      </w:r>
      <w:r w:rsidRPr="002626F0">
        <w:rPr>
          <w:rFonts w:asciiTheme="minorHAnsi" w:hAnsiTheme="minorHAnsi" w:cstheme="minorHAnsi"/>
          <w:bCs/>
          <w:sz w:val="22"/>
          <w:szCs w:val="22"/>
        </w:rPr>
        <w:t xml:space="preserve"> the constipation STG in the PHC gastro-intestinal chapter. However, no available RCT evidence could be sourced for combination therapy (sennosides + lactulose) for managing constipation in palliative care</w:t>
      </w:r>
      <w:r>
        <w:rPr>
          <w:rFonts w:asciiTheme="minorHAnsi" w:hAnsiTheme="minorHAnsi" w:cstheme="minorHAnsi"/>
          <w:bCs/>
          <w:sz w:val="22"/>
          <w:szCs w:val="22"/>
        </w:rPr>
        <w:t xml:space="preserve">; though </w:t>
      </w:r>
      <w:r w:rsidRPr="002626F0">
        <w:rPr>
          <w:rFonts w:asciiTheme="minorHAnsi" w:hAnsiTheme="minorHAnsi" w:cstheme="minorHAnsi"/>
          <w:bCs/>
          <w:sz w:val="22"/>
          <w:szCs w:val="22"/>
        </w:rPr>
        <w:t>combination therapy is standard of care in most guidelines.</w:t>
      </w:r>
    </w:p>
    <w:p w:rsidR="002626F0" w:rsidRPr="002626F0" w:rsidRDefault="002626F0" w:rsidP="00D368E3">
      <w:pPr>
        <w:pStyle w:val="ListParagraph"/>
        <w:autoSpaceDE w:val="0"/>
        <w:autoSpaceDN w:val="0"/>
        <w:adjustRightInd w:val="0"/>
        <w:ind w:left="0"/>
        <w:jc w:val="both"/>
        <w:rPr>
          <w:rFonts w:asciiTheme="minorHAnsi" w:hAnsiTheme="minorHAnsi" w:cstheme="minorHAnsi"/>
          <w:bCs/>
          <w:sz w:val="22"/>
          <w:szCs w:val="22"/>
        </w:rPr>
      </w:pPr>
      <w:r w:rsidRPr="002626F0">
        <w:rPr>
          <w:rFonts w:asciiTheme="minorHAnsi" w:hAnsiTheme="minorHAnsi" w:cstheme="minorHAnsi"/>
          <w:b/>
          <w:bCs/>
          <w:sz w:val="22"/>
          <w:szCs w:val="22"/>
        </w:rPr>
        <w:t>Recommendation:</w:t>
      </w:r>
      <w:r w:rsidRPr="002626F0">
        <w:rPr>
          <w:rFonts w:asciiTheme="minorHAnsi" w:hAnsiTheme="minorHAnsi" w:cstheme="minorHAnsi"/>
          <w:bCs/>
          <w:sz w:val="22"/>
          <w:szCs w:val="22"/>
        </w:rPr>
        <w:t xml:space="preserve"> Combination therapy sennosides A and B, oral with lactulose, oral be recommended for constipation in palliative care where approp</w:t>
      </w:r>
      <w:r w:rsidR="00DF5363">
        <w:rPr>
          <w:rFonts w:asciiTheme="minorHAnsi" w:hAnsiTheme="minorHAnsi" w:cstheme="minorHAnsi"/>
          <w:bCs/>
          <w:sz w:val="22"/>
          <w:szCs w:val="22"/>
        </w:rPr>
        <w:t>r</w:t>
      </w:r>
      <w:r w:rsidRPr="002626F0">
        <w:rPr>
          <w:rFonts w:asciiTheme="minorHAnsi" w:hAnsiTheme="minorHAnsi" w:cstheme="minorHAnsi"/>
          <w:bCs/>
          <w:sz w:val="22"/>
          <w:szCs w:val="22"/>
        </w:rPr>
        <w:t>iate.</w:t>
      </w:r>
    </w:p>
    <w:p w:rsidR="002626F0" w:rsidRPr="002626F0" w:rsidRDefault="002626F0" w:rsidP="00D368E3">
      <w:pPr>
        <w:pStyle w:val="ListParagraph"/>
        <w:autoSpaceDE w:val="0"/>
        <w:autoSpaceDN w:val="0"/>
        <w:adjustRightInd w:val="0"/>
        <w:ind w:left="0"/>
        <w:jc w:val="both"/>
        <w:rPr>
          <w:rFonts w:asciiTheme="minorHAnsi" w:hAnsiTheme="minorHAnsi" w:cstheme="minorHAnsi"/>
          <w:bCs/>
          <w:sz w:val="22"/>
          <w:szCs w:val="22"/>
        </w:rPr>
      </w:pPr>
      <w:r w:rsidRPr="002626F0">
        <w:rPr>
          <w:rFonts w:asciiTheme="minorHAnsi" w:hAnsiTheme="minorHAnsi" w:cstheme="minorHAnsi"/>
          <w:bCs/>
          <w:sz w:val="22"/>
          <w:szCs w:val="22"/>
        </w:rPr>
        <w:t>Rationale: Aligned with guidelines</w:t>
      </w:r>
      <w:r w:rsidRPr="002626F0">
        <w:rPr>
          <w:rStyle w:val="FootnoteReference"/>
          <w:rFonts w:asciiTheme="minorHAnsi" w:hAnsiTheme="minorHAnsi"/>
          <w:bCs/>
          <w:sz w:val="22"/>
          <w:szCs w:val="22"/>
        </w:rPr>
        <w:footnoteReference w:id="3"/>
      </w:r>
      <w:r w:rsidRPr="002626F0">
        <w:rPr>
          <w:rFonts w:asciiTheme="minorHAnsi" w:hAnsiTheme="minorHAnsi" w:cstheme="minorHAnsi"/>
          <w:bCs/>
          <w:sz w:val="22"/>
          <w:szCs w:val="22"/>
        </w:rPr>
        <w:t>.</w:t>
      </w:r>
    </w:p>
    <w:p w:rsidR="002626F0" w:rsidRPr="00360E3D" w:rsidRDefault="002626F0" w:rsidP="00D368E3">
      <w:pPr>
        <w:pStyle w:val="ListParagraph"/>
        <w:autoSpaceDE w:val="0"/>
        <w:autoSpaceDN w:val="0"/>
        <w:adjustRightInd w:val="0"/>
        <w:ind w:left="0"/>
        <w:jc w:val="both"/>
        <w:rPr>
          <w:rFonts w:asciiTheme="minorHAnsi" w:hAnsiTheme="minorHAnsi" w:cstheme="minorHAnsi"/>
          <w:b/>
          <w:bCs/>
          <w:sz w:val="22"/>
          <w:szCs w:val="22"/>
        </w:rPr>
      </w:pPr>
      <w:r w:rsidRPr="00360E3D">
        <w:rPr>
          <w:rFonts w:asciiTheme="minorHAnsi" w:hAnsiTheme="minorHAnsi" w:cstheme="minorHAnsi"/>
          <w:b/>
          <w:bCs/>
          <w:sz w:val="22"/>
          <w:szCs w:val="22"/>
        </w:rPr>
        <w:t>Level of Evidence: III Guidelines</w:t>
      </w:r>
    </w:p>
    <w:p w:rsidR="002626F0" w:rsidRDefault="002626F0" w:rsidP="00D368E3">
      <w:pPr>
        <w:pStyle w:val="ListParagraph"/>
        <w:autoSpaceDE w:val="0"/>
        <w:autoSpaceDN w:val="0"/>
        <w:adjustRightInd w:val="0"/>
        <w:ind w:left="0"/>
        <w:jc w:val="both"/>
        <w:rPr>
          <w:rFonts w:asciiTheme="minorHAnsi" w:hAnsiTheme="minorHAnsi" w:cstheme="minorHAnsi"/>
          <w:bCs/>
          <w:sz w:val="22"/>
          <w:szCs w:val="22"/>
          <w:u w:val="single"/>
        </w:rPr>
      </w:pPr>
    </w:p>
    <w:p w:rsidR="002626F0" w:rsidRPr="00F74046" w:rsidRDefault="002626F0" w:rsidP="00D368E3">
      <w:pPr>
        <w:autoSpaceDE w:val="0"/>
        <w:autoSpaceDN w:val="0"/>
        <w:adjustRightInd w:val="0"/>
        <w:spacing w:after="0" w:line="240" w:lineRule="auto"/>
        <w:jc w:val="both"/>
        <w:rPr>
          <w:rFonts w:cstheme="minorHAnsi"/>
          <w:bCs/>
          <w:color w:val="000000"/>
        </w:rPr>
      </w:pPr>
      <w:r w:rsidRPr="00F74046">
        <w:rPr>
          <w:rFonts w:cstheme="minorHAnsi"/>
          <w:bCs/>
          <w:i/>
          <w:color w:val="000000"/>
        </w:rPr>
        <w:t xml:space="preserve">Glycerine suppositories; phosphate enema: </w:t>
      </w:r>
      <w:r w:rsidRPr="00F74046">
        <w:rPr>
          <w:rFonts w:cstheme="minorHAnsi"/>
          <w:bCs/>
          <w:color w:val="000000"/>
        </w:rPr>
        <w:t xml:space="preserve">The </w:t>
      </w:r>
      <w:r>
        <w:rPr>
          <w:rFonts w:cstheme="minorHAnsi"/>
          <w:bCs/>
          <w:color w:val="000000"/>
        </w:rPr>
        <w:t xml:space="preserve">PHC </w:t>
      </w:r>
      <w:r w:rsidRPr="00F74046">
        <w:rPr>
          <w:rFonts w:cstheme="minorHAnsi"/>
          <w:bCs/>
          <w:color w:val="000000"/>
        </w:rPr>
        <w:t xml:space="preserve">Committee was of the opinion that children who were unable to swallow and require suppositories or enemas for management of constipation need </w:t>
      </w:r>
      <w:r w:rsidRPr="00F74046">
        <w:rPr>
          <w:rFonts w:cstheme="minorHAnsi"/>
          <w:bCs/>
          <w:color w:val="000000"/>
        </w:rPr>
        <w:lastRenderedPageBreak/>
        <w:t xml:space="preserve">to be referred to secondary level of care. Down-referral processes would then be required for continuum of care of this select patient population. </w:t>
      </w:r>
    </w:p>
    <w:p w:rsidR="002626F0" w:rsidRPr="00F74046" w:rsidRDefault="002626F0" w:rsidP="00D368E3">
      <w:pPr>
        <w:autoSpaceDE w:val="0"/>
        <w:autoSpaceDN w:val="0"/>
        <w:adjustRightInd w:val="0"/>
        <w:spacing w:after="0" w:line="240" w:lineRule="auto"/>
        <w:jc w:val="both"/>
        <w:rPr>
          <w:rFonts w:cstheme="minorHAnsi"/>
          <w:bCs/>
          <w:color w:val="000000"/>
        </w:rPr>
      </w:pPr>
      <w:r w:rsidRPr="00F74046">
        <w:rPr>
          <w:rFonts w:cstheme="minorHAnsi"/>
          <w:b/>
          <w:bCs/>
          <w:color w:val="000000"/>
        </w:rPr>
        <w:t>Recommendation:</w:t>
      </w:r>
      <w:r w:rsidRPr="00F74046">
        <w:rPr>
          <w:rFonts w:cstheme="minorHAnsi"/>
          <w:bCs/>
          <w:color w:val="000000"/>
        </w:rPr>
        <w:t xml:space="preserve"> Glycerine suppositories and phosphate enemas not be included on the Primary Health Care EML as an essential medicine.</w:t>
      </w:r>
    </w:p>
    <w:p w:rsidR="002626F0" w:rsidRPr="00F74046" w:rsidRDefault="002626F0" w:rsidP="00D368E3">
      <w:pPr>
        <w:autoSpaceDE w:val="0"/>
        <w:autoSpaceDN w:val="0"/>
        <w:adjustRightInd w:val="0"/>
        <w:spacing w:after="0" w:line="240" w:lineRule="auto"/>
        <w:jc w:val="both"/>
        <w:rPr>
          <w:rFonts w:cstheme="minorHAnsi"/>
          <w:bCs/>
          <w:color w:val="000000"/>
        </w:rPr>
      </w:pPr>
      <w:r w:rsidRPr="00F74046">
        <w:rPr>
          <w:rFonts w:cstheme="minorHAnsi"/>
          <w:bCs/>
          <w:i/>
          <w:color w:val="000000"/>
        </w:rPr>
        <w:t xml:space="preserve">Rationale: </w:t>
      </w:r>
      <w:r w:rsidRPr="00F74046">
        <w:rPr>
          <w:rFonts w:cstheme="minorHAnsi"/>
          <w:bCs/>
          <w:color w:val="000000"/>
        </w:rPr>
        <w:t xml:space="preserve">Children who </w:t>
      </w:r>
      <w:r w:rsidR="00DF5363">
        <w:rPr>
          <w:rFonts w:cstheme="minorHAnsi"/>
          <w:bCs/>
          <w:color w:val="000000"/>
        </w:rPr>
        <w:t>a</w:t>
      </w:r>
      <w:r w:rsidRPr="00F74046">
        <w:rPr>
          <w:rFonts w:cstheme="minorHAnsi"/>
          <w:bCs/>
          <w:color w:val="000000"/>
        </w:rPr>
        <w:t>re unable to swallow and who require suppositories or enemas for management of constipation is a small population group and should be managed at secondary level of care with down-referral for continuum of care.</w:t>
      </w:r>
    </w:p>
    <w:p w:rsidR="002626F0" w:rsidRPr="00F74046" w:rsidRDefault="002626F0" w:rsidP="00D368E3">
      <w:pPr>
        <w:autoSpaceDE w:val="0"/>
        <w:autoSpaceDN w:val="0"/>
        <w:adjustRightInd w:val="0"/>
        <w:spacing w:after="0" w:line="240" w:lineRule="auto"/>
        <w:jc w:val="both"/>
        <w:rPr>
          <w:rFonts w:cstheme="minorHAnsi"/>
          <w:b/>
          <w:bCs/>
          <w:color w:val="000000"/>
        </w:rPr>
      </w:pPr>
      <w:r w:rsidRPr="00F74046">
        <w:rPr>
          <w:rFonts w:cstheme="minorHAnsi"/>
          <w:b/>
          <w:bCs/>
          <w:color w:val="000000"/>
        </w:rPr>
        <w:t>Level of Evidence: III Expert opinion</w:t>
      </w:r>
    </w:p>
    <w:p w:rsidR="002626F0" w:rsidRPr="004E303A" w:rsidRDefault="002626F0" w:rsidP="00D368E3">
      <w:pPr>
        <w:pStyle w:val="ListParagraph"/>
        <w:autoSpaceDE w:val="0"/>
        <w:autoSpaceDN w:val="0"/>
        <w:adjustRightInd w:val="0"/>
        <w:ind w:left="0"/>
        <w:jc w:val="both"/>
        <w:rPr>
          <w:rFonts w:asciiTheme="minorHAnsi" w:hAnsiTheme="minorHAnsi" w:cstheme="minorHAnsi"/>
          <w:bCs/>
          <w:sz w:val="22"/>
          <w:szCs w:val="22"/>
          <w:u w:val="single"/>
        </w:rPr>
      </w:pPr>
    </w:p>
    <w:p w:rsidR="005C542D" w:rsidRPr="00C52208" w:rsidRDefault="002626F0" w:rsidP="00D368E3">
      <w:pPr>
        <w:pStyle w:val="ListParagraph"/>
        <w:autoSpaceDE w:val="0"/>
        <w:autoSpaceDN w:val="0"/>
        <w:adjustRightInd w:val="0"/>
        <w:ind w:left="0"/>
        <w:jc w:val="both"/>
        <w:rPr>
          <w:rFonts w:asciiTheme="minorHAnsi" w:hAnsiTheme="minorHAnsi" w:cstheme="minorHAnsi"/>
          <w:b/>
          <w:bCs/>
          <w:sz w:val="22"/>
          <w:szCs w:val="22"/>
        </w:rPr>
      </w:pPr>
      <w:r>
        <w:rPr>
          <w:rFonts w:asciiTheme="minorHAnsi" w:hAnsiTheme="minorHAnsi" w:cstheme="minorHAnsi"/>
          <w:bCs/>
          <w:i/>
          <w:sz w:val="22"/>
          <w:szCs w:val="22"/>
        </w:rPr>
        <w:t xml:space="preserve">Bisacodyl suppositories </w:t>
      </w:r>
      <w:r w:rsidRPr="002626F0">
        <w:rPr>
          <w:rFonts w:asciiTheme="minorHAnsi" w:hAnsiTheme="minorHAnsi" w:cstheme="minorHAnsi"/>
          <w:bCs/>
          <w:sz w:val="22"/>
          <w:szCs w:val="22"/>
        </w:rPr>
        <w:t>(</w:t>
      </w:r>
      <w:r>
        <w:rPr>
          <w:rFonts w:asciiTheme="minorHAnsi" w:hAnsiTheme="minorHAnsi" w:cstheme="minorHAnsi"/>
          <w:bCs/>
          <w:sz w:val="22"/>
          <w:szCs w:val="22"/>
        </w:rPr>
        <w:t>Refer to the medicine review for detailed information):</w:t>
      </w:r>
      <w:r w:rsidR="005C542D">
        <w:rPr>
          <w:rFonts w:asciiTheme="minorHAnsi" w:hAnsiTheme="minorHAnsi" w:cstheme="minorHAnsi"/>
          <w:bCs/>
          <w:sz w:val="22"/>
          <w:szCs w:val="22"/>
        </w:rPr>
        <w:t>Evidence for bisacodyl suppositories compared to other laxatives is limited and of low quality. However, guidelines recommend this agent as second line option.</w:t>
      </w:r>
    </w:p>
    <w:p w:rsidR="005C542D" w:rsidRPr="00C52208" w:rsidRDefault="005C542D" w:rsidP="00D368E3">
      <w:pPr>
        <w:spacing w:after="0" w:line="240" w:lineRule="auto"/>
        <w:jc w:val="both"/>
        <w:rPr>
          <w:rFonts w:eastAsia="SimSun" w:cs="Calibri"/>
          <w:bCs/>
          <w:iCs/>
          <w:noProof/>
          <w:lang w:eastAsia="ja-JP"/>
        </w:rPr>
      </w:pPr>
      <w:r w:rsidRPr="00C52208">
        <w:rPr>
          <w:rFonts w:cstheme="minorHAnsi"/>
          <w:b/>
          <w:bCs/>
        </w:rPr>
        <w:t>Recommendation:</w:t>
      </w:r>
      <w:r>
        <w:rPr>
          <w:rFonts w:eastAsia="SimSun" w:cs="Calibri"/>
          <w:bCs/>
          <w:iCs/>
          <w:noProof/>
          <w:lang w:eastAsia="ja-JP"/>
        </w:rPr>
        <w:t>B</w:t>
      </w:r>
      <w:r w:rsidRPr="00C52208">
        <w:rPr>
          <w:rFonts w:eastAsia="SimSun" w:cs="Calibri"/>
          <w:bCs/>
          <w:iCs/>
          <w:noProof/>
          <w:lang w:eastAsia="ja-JP"/>
        </w:rPr>
        <w:t xml:space="preserve">isacodyl suppositories not be included in the EML for primary level of care. However, this medicine could be considered for use at hospital level where short-term use would be restricted specifically in patients who cannot swallow. The </w:t>
      </w:r>
      <w:r w:rsidR="002626F0">
        <w:rPr>
          <w:rFonts w:eastAsia="SimSun" w:cs="Calibri"/>
          <w:bCs/>
          <w:iCs/>
          <w:noProof/>
          <w:lang w:eastAsia="ja-JP"/>
        </w:rPr>
        <w:t xml:space="preserve">PHC </w:t>
      </w:r>
      <w:r w:rsidRPr="00C52208">
        <w:rPr>
          <w:rFonts w:eastAsia="SimSun" w:cs="Calibri"/>
          <w:bCs/>
          <w:iCs/>
          <w:noProof/>
          <w:lang w:eastAsia="ja-JP"/>
        </w:rPr>
        <w:t>Committee was of the opinion that it was not appropiate to initiate management at primary level of care, but should be initiated by palliative care teams and accessed at primary level of care should down-referral mechanism if required.</w:t>
      </w:r>
    </w:p>
    <w:p w:rsidR="005C542D" w:rsidRPr="00C52208" w:rsidRDefault="005C542D" w:rsidP="00D368E3">
      <w:pPr>
        <w:spacing w:after="0" w:line="240" w:lineRule="auto"/>
        <w:jc w:val="both"/>
        <w:rPr>
          <w:rFonts w:eastAsia="SimSun" w:cs="Calibri"/>
          <w:b/>
          <w:bCs/>
          <w:noProof/>
          <w:lang w:eastAsia="ja-JP"/>
        </w:rPr>
      </w:pPr>
      <w:r w:rsidRPr="00C52208">
        <w:rPr>
          <w:rFonts w:eastAsia="SimSun" w:cs="Calibri"/>
          <w:bCs/>
          <w:i/>
          <w:noProof/>
          <w:lang w:eastAsia="ja-JP"/>
        </w:rPr>
        <w:t>Rationale:</w:t>
      </w:r>
      <w:r w:rsidRPr="00C52208">
        <w:rPr>
          <w:rFonts w:eastAsia="SimSun" w:cs="Calibri"/>
          <w:bCs/>
          <w:noProof/>
          <w:lang w:eastAsia="ja-JP"/>
        </w:rPr>
        <w:t xml:space="preserve">Use of bisacodyl suppositories for constipation in palliative care would be limited to a small population of patients: adult palliative care patients who cannot swallow. </w:t>
      </w:r>
      <w:r w:rsidR="004717B0">
        <w:rPr>
          <w:rFonts w:cstheme="minorHAnsi"/>
          <w:bCs/>
        </w:rPr>
        <w:t>This</w:t>
      </w:r>
      <w:r w:rsidR="002626F0">
        <w:rPr>
          <w:rFonts w:cstheme="minorHAnsi"/>
          <w:bCs/>
        </w:rPr>
        <w:t xml:space="preserve"> agent should be accessed through a down-referral mechanism from secondary level of care. </w:t>
      </w:r>
      <w:r w:rsidRPr="00C52208">
        <w:rPr>
          <w:rFonts w:eastAsia="SimSun" w:cs="Calibri"/>
          <w:bCs/>
          <w:noProof/>
          <w:lang w:eastAsia="ja-JP"/>
        </w:rPr>
        <w:t xml:space="preserve">There is no evidence of superiority to alternate laxatives that are currently included in the primary health care EML. </w:t>
      </w:r>
    </w:p>
    <w:p w:rsidR="005C542D" w:rsidRPr="00C52208" w:rsidRDefault="005C542D" w:rsidP="00D368E3">
      <w:pPr>
        <w:spacing w:after="0" w:line="240" w:lineRule="auto"/>
        <w:jc w:val="both"/>
        <w:rPr>
          <w:rFonts w:eastAsia="SimSun" w:cs="Calibri"/>
          <w:b/>
          <w:bCs/>
          <w:noProof/>
          <w:lang w:eastAsia="ja-JP"/>
        </w:rPr>
      </w:pPr>
      <w:r w:rsidRPr="00C52208">
        <w:rPr>
          <w:rFonts w:eastAsia="SimSun" w:cs="Calibri"/>
          <w:b/>
          <w:bCs/>
          <w:noProof/>
          <w:lang w:eastAsia="ja-JP"/>
        </w:rPr>
        <w:t>Level of Evidence: III Expert opinion</w:t>
      </w:r>
    </w:p>
    <w:p w:rsidR="005C542D" w:rsidRPr="004717B0" w:rsidRDefault="004717B0" w:rsidP="00D368E3">
      <w:pPr>
        <w:pStyle w:val="ListParagraph"/>
        <w:autoSpaceDE w:val="0"/>
        <w:autoSpaceDN w:val="0"/>
        <w:adjustRightInd w:val="0"/>
        <w:ind w:left="0"/>
        <w:jc w:val="both"/>
        <w:rPr>
          <w:rFonts w:asciiTheme="minorHAnsi" w:hAnsiTheme="minorHAnsi" w:cstheme="minorHAnsi"/>
          <w:bCs/>
          <w:sz w:val="22"/>
          <w:szCs w:val="22"/>
        </w:rPr>
      </w:pPr>
      <w:r w:rsidRPr="004717B0">
        <w:rPr>
          <w:rFonts w:asciiTheme="minorHAnsi" w:hAnsiTheme="minorHAnsi" w:cstheme="minorHAnsi"/>
          <w:bCs/>
          <w:sz w:val="22"/>
          <w:szCs w:val="22"/>
        </w:rPr>
        <w:t>(Note: Medicine review to be forwarded to Adult Hospital level Committee).</w:t>
      </w:r>
    </w:p>
    <w:p w:rsidR="004E303A" w:rsidRDefault="004E303A" w:rsidP="00D368E3">
      <w:pPr>
        <w:pStyle w:val="ListParagraph"/>
        <w:autoSpaceDE w:val="0"/>
        <w:autoSpaceDN w:val="0"/>
        <w:adjustRightInd w:val="0"/>
        <w:ind w:left="0"/>
        <w:jc w:val="both"/>
        <w:rPr>
          <w:rFonts w:asciiTheme="minorHAnsi" w:hAnsiTheme="minorHAnsi" w:cstheme="minorHAnsi"/>
          <w:b/>
          <w:bCs/>
          <w:sz w:val="22"/>
          <w:szCs w:val="22"/>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4717B0" w:rsidRPr="00554428" w:rsidTr="00867C42">
        <w:tc>
          <w:tcPr>
            <w:tcW w:w="9242" w:type="dxa"/>
            <w:tcBorders>
              <w:top w:val="double" w:sz="4" w:space="0" w:color="C0C0C0"/>
              <w:left w:val="double" w:sz="4" w:space="0" w:color="C0C0C0"/>
              <w:bottom w:val="double" w:sz="4" w:space="0" w:color="C0C0C0"/>
              <w:right w:val="double" w:sz="4" w:space="0" w:color="C0C0C0"/>
            </w:tcBorders>
          </w:tcPr>
          <w:p w:rsidR="004717B0" w:rsidRPr="004717B0" w:rsidRDefault="00867C42" w:rsidP="00D368E3">
            <w:pPr>
              <w:widowControl w:val="0"/>
              <w:autoSpaceDE w:val="0"/>
              <w:autoSpaceDN w:val="0"/>
              <w:adjustRightInd w:val="0"/>
              <w:spacing w:before="120" w:after="120" w:line="240" w:lineRule="auto"/>
              <w:rPr>
                <w:rFonts w:cstheme="minorHAnsi"/>
                <w:b/>
              </w:rPr>
            </w:pPr>
            <w:r>
              <w:rPr>
                <w:rFonts w:cstheme="minorHAnsi"/>
                <w:b/>
              </w:rPr>
              <w:t>22.1.2</w:t>
            </w:r>
            <w:r w:rsidR="004717B0" w:rsidRPr="004717B0">
              <w:rPr>
                <w:rFonts w:cstheme="minorHAnsi"/>
                <w:b/>
              </w:rPr>
              <w:t xml:space="preserve"> DIARRHOEA</w:t>
            </w:r>
          </w:p>
        </w:tc>
      </w:tr>
    </w:tbl>
    <w:p w:rsidR="004717B0" w:rsidRDefault="004717B0" w:rsidP="00D368E3">
      <w:pPr>
        <w:autoSpaceDE w:val="0"/>
        <w:autoSpaceDN w:val="0"/>
        <w:adjustRightInd w:val="0"/>
        <w:spacing w:after="0" w:line="240" w:lineRule="auto"/>
        <w:jc w:val="both"/>
        <w:rPr>
          <w:rFonts w:cstheme="minorHAnsi"/>
          <w:bCs/>
          <w:color w:val="000000"/>
        </w:rPr>
      </w:pPr>
      <w:r w:rsidRPr="004717B0">
        <w:rPr>
          <w:rFonts w:cstheme="minorHAnsi"/>
          <w:bCs/>
          <w:color w:val="000000"/>
          <w:u w:val="single"/>
        </w:rPr>
        <w:t>Loperamide, oral:</w:t>
      </w:r>
      <w:r w:rsidRPr="004717B0">
        <w:rPr>
          <w:rFonts w:cstheme="minorHAnsi"/>
          <w:bCs/>
          <w:i/>
          <w:color w:val="000000"/>
        </w:rPr>
        <w:t>added</w:t>
      </w:r>
    </w:p>
    <w:p w:rsidR="004717B0" w:rsidRDefault="004717B0" w:rsidP="00D368E3">
      <w:pPr>
        <w:autoSpaceDE w:val="0"/>
        <w:autoSpaceDN w:val="0"/>
        <w:adjustRightInd w:val="0"/>
        <w:spacing w:after="0" w:line="240" w:lineRule="auto"/>
        <w:jc w:val="both"/>
        <w:rPr>
          <w:rFonts w:cstheme="minorHAnsi"/>
          <w:bCs/>
          <w:color w:val="000000"/>
        </w:rPr>
      </w:pPr>
      <w:r w:rsidRPr="004717B0">
        <w:rPr>
          <w:rFonts w:cstheme="minorHAnsi"/>
          <w:bCs/>
          <w:color w:val="000000"/>
          <w:u w:val="single"/>
        </w:rPr>
        <w:t>Oral rehydration solution:</w:t>
      </w:r>
      <w:r w:rsidRPr="004717B0">
        <w:rPr>
          <w:rFonts w:cstheme="minorHAnsi"/>
          <w:bCs/>
          <w:i/>
          <w:color w:val="000000"/>
        </w:rPr>
        <w:t>no</w:t>
      </w:r>
      <w:r>
        <w:rPr>
          <w:rFonts w:cstheme="minorHAnsi"/>
          <w:bCs/>
          <w:i/>
          <w:color w:val="000000"/>
        </w:rPr>
        <w:t>t</w:t>
      </w:r>
      <w:r w:rsidRPr="004717B0">
        <w:rPr>
          <w:rFonts w:cstheme="minorHAnsi"/>
          <w:bCs/>
          <w:i/>
          <w:color w:val="000000"/>
        </w:rPr>
        <w:t xml:space="preserve"> added</w:t>
      </w:r>
    </w:p>
    <w:p w:rsidR="004717B0" w:rsidRDefault="004717B0" w:rsidP="00D368E3">
      <w:pPr>
        <w:autoSpaceDE w:val="0"/>
        <w:autoSpaceDN w:val="0"/>
        <w:adjustRightInd w:val="0"/>
        <w:spacing w:after="0" w:line="240" w:lineRule="auto"/>
        <w:jc w:val="both"/>
        <w:rPr>
          <w:rFonts w:cstheme="minorHAnsi"/>
          <w:bCs/>
          <w:color w:val="000000"/>
        </w:rPr>
      </w:pPr>
    </w:p>
    <w:p w:rsidR="004E303A" w:rsidRDefault="004717B0" w:rsidP="00D368E3">
      <w:pPr>
        <w:autoSpaceDE w:val="0"/>
        <w:autoSpaceDN w:val="0"/>
        <w:adjustRightInd w:val="0"/>
        <w:spacing w:after="0" w:line="240" w:lineRule="auto"/>
        <w:jc w:val="both"/>
        <w:rPr>
          <w:rFonts w:cstheme="minorHAnsi"/>
          <w:bCs/>
          <w:color w:val="000000"/>
        </w:rPr>
      </w:pPr>
      <w:r>
        <w:rPr>
          <w:rFonts w:cstheme="minorHAnsi"/>
          <w:bCs/>
          <w:color w:val="000000"/>
        </w:rPr>
        <w:t xml:space="preserve">Adult management was aligned with diarrhoea STGs in the </w:t>
      </w:r>
      <w:r w:rsidRPr="002626F0">
        <w:rPr>
          <w:rFonts w:cstheme="minorHAnsi"/>
          <w:bCs/>
        </w:rPr>
        <w:t>PHC gastro-intestinal chapter</w:t>
      </w:r>
      <w:r>
        <w:rPr>
          <w:rFonts w:cstheme="minorHAnsi"/>
          <w:bCs/>
        </w:rPr>
        <w:t>. However, vigorous rehydration</w:t>
      </w:r>
      <w:r>
        <w:rPr>
          <w:rFonts w:cstheme="minorHAnsi"/>
          <w:bCs/>
          <w:color w:val="000000"/>
        </w:rPr>
        <w:t xml:space="preserve"> for children</w:t>
      </w:r>
      <w:r w:rsidR="00867C42">
        <w:rPr>
          <w:rFonts w:cstheme="minorHAnsi"/>
          <w:bCs/>
          <w:color w:val="000000"/>
        </w:rPr>
        <w:t xml:space="preserve"> is not considered appropriate. Terminally ill children should be down-referred from secondary level of care with a care plan.</w:t>
      </w:r>
    </w:p>
    <w:p w:rsidR="00867C42" w:rsidRPr="00867C42" w:rsidRDefault="00867C42" w:rsidP="00D368E3">
      <w:pPr>
        <w:autoSpaceDE w:val="0"/>
        <w:autoSpaceDN w:val="0"/>
        <w:adjustRightInd w:val="0"/>
        <w:spacing w:after="0" w:line="240" w:lineRule="auto"/>
        <w:jc w:val="both"/>
        <w:rPr>
          <w:rFonts w:cstheme="minorHAnsi"/>
          <w:b/>
          <w:bCs/>
          <w:color w:val="000000"/>
        </w:rPr>
      </w:pPr>
      <w:r w:rsidRPr="00867C42">
        <w:rPr>
          <w:rFonts w:cstheme="minorHAnsi"/>
          <w:b/>
          <w:bCs/>
          <w:color w:val="000000"/>
        </w:rPr>
        <w:t>Level of Evidence: III Standard practice, Expert opinion</w:t>
      </w:r>
    </w:p>
    <w:p w:rsidR="00867C42" w:rsidRDefault="00867C42" w:rsidP="00D368E3">
      <w:pPr>
        <w:autoSpaceDE w:val="0"/>
        <w:autoSpaceDN w:val="0"/>
        <w:adjustRightInd w:val="0"/>
        <w:spacing w:after="0" w:line="240" w:lineRule="auto"/>
        <w:jc w:val="both"/>
        <w:rPr>
          <w:rFonts w:cstheme="minorHAnsi"/>
          <w:b/>
          <w:bCs/>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867C42" w:rsidRPr="00554428" w:rsidTr="00867C42">
        <w:tc>
          <w:tcPr>
            <w:tcW w:w="9242" w:type="dxa"/>
            <w:tcBorders>
              <w:top w:val="double" w:sz="4" w:space="0" w:color="C0C0C0"/>
              <w:left w:val="double" w:sz="4" w:space="0" w:color="C0C0C0"/>
              <w:bottom w:val="double" w:sz="4" w:space="0" w:color="C0C0C0"/>
              <w:right w:val="double" w:sz="4" w:space="0" w:color="C0C0C0"/>
            </w:tcBorders>
          </w:tcPr>
          <w:p w:rsidR="00867C42" w:rsidRPr="00554428" w:rsidRDefault="00867C42" w:rsidP="00D368E3">
            <w:pPr>
              <w:widowControl w:val="0"/>
              <w:autoSpaceDE w:val="0"/>
              <w:autoSpaceDN w:val="0"/>
              <w:adjustRightInd w:val="0"/>
              <w:spacing w:before="120" w:after="120" w:line="240" w:lineRule="auto"/>
              <w:rPr>
                <w:rFonts w:cstheme="minorHAnsi"/>
                <w:b/>
              </w:rPr>
            </w:pPr>
            <w:r>
              <w:rPr>
                <w:rFonts w:cstheme="minorHAnsi"/>
                <w:b/>
              </w:rPr>
              <w:t>22.1.3NAUSEA AND VOMITING</w:t>
            </w:r>
          </w:p>
        </w:tc>
      </w:tr>
    </w:tbl>
    <w:p w:rsidR="00867C42" w:rsidRPr="00867C42" w:rsidRDefault="00867C42" w:rsidP="00D368E3">
      <w:pPr>
        <w:pStyle w:val="ListParagraph"/>
        <w:autoSpaceDE w:val="0"/>
        <w:autoSpaceDN w:val="0"/>
        <w:adjustRightInd w:val="0"/>
        <w:ind w:left="0"/>
        <w:jc w:val="both"/>
        <w:rPr>
          <w:rFonts w:asciiTheme="minorHAnsi" w:hAnsiTheme="minorHAnsi" w:cstheme="minorHAnsi"/>
          <w:bCs/>
          <w:sz w:val="22"/>
          <w:szCs w:val="22"/>
        </w:rPr>
      </w:pPr>
      <w:r w:rsidRPr="00867C42">
        <w:rPr>
          <w:rFonts w:asciiTheme="minorHAnsi" w:hAnsiTheme="minorHAnsi" w:cstheme="minorHAnsi"/>
          <w:bCs/>
          <w:sz w:val="22"/>
          <w:szCs w:val="22"/>
          <w:u w:val="single"/>
        </w:rPr>
        <w:t>Metoclopramide, oral</w:t>
      </w:r>
      <w:r w:rsidRPr="00867C42">
        <w:rPr>
          <w:rFonts w:asciiTheme="minorHAnsi" w:hAnsiTheme="minorHAnsi" w:cstheme="minorHAnsi"/>
          <w:bCs/>
          <w:sz w:val="22"/>
          <w:szCs w:val="22"/>
        </w:rPr>
        <w:t xml:space="preserve">: </w:t>
      </w:r>
      <w:r w:rsidRPr="00867C42">
        <w:rPr>
          <w:rFonts w:asciiTheme="minorHAnsi" w:hAnsiTheme="minorHAnsi" w:cstheme="minorHAnsi"/>
          <w:bCs/>
          <w:i/>
          <w:sz w:val="22"/>
          <w:szCs w:val="22"/>
        </w:rPr>
        <w:t>added</w:t>
      </w:r>
    </w:p>
    <w:p w:rsidR="00867C42" w:rsidRPr="00867C42" w:rsidRDefault="00867C42" w:rsidP="00D368E3">
      <w:pPr>
        <w:pStyle w:val="ListParagraph"/>
        <w:autoSpaceDE w:val="0"/>
        <w:autoSpaceDN w:val="0"/>
        <w:adjustRightInd w:val="0"/>
        <w:ind w:left="0"/>
        <w:jc w:val="both"/>
        <w:rPr>
          <w:rFonts w:asciiTheme="minorHAnsi" w:hAnsiTheme="minorHAnsi" w:cstheme="minorHAnsi"/>
          <w:bCs/>
          <w:sz w:val="22"/>
          <w:szCs w:val="22"/>
        </w:rPr>
      </w:pPr>
      <w:r w:rsidRPr="00867C42">
        <w:rPr>
          <w:rFonts w:asciiTheme="minorHAnsi" w:hAnsiTheme="minorHAnsi" w:cstheme="minorHAnsi"/>
          <w:bCs/>
          <w:sz w:val="22"/>
          <w:szCs w:val="22"/>
          <w:u w:val="single"/>
        </w:rPr>
        <w:t>Ondansetron, oral</w:t>
      </w:r>
      <w:r w:rsidRPr="00867C42">
        <w:rPr>
          <w:rFonts w:asciiTheme="minorHAnsi" w:hAnsiTheme="minorHAnsi" w:cstheme="minorHAnsi"/>
          <w:bCs/>
          <w:sz w:val="22"/>
          <w:szCs w:val="22"/>
        </w:rPr>
        <w:t xml:space="preserve">: </w:t>
      </w:r>
      <w:r w:rsidR="00BD047C" w:rsidRPr="00BD047C">
        <w:rPr>
          <w:rFonts w:asciiTheme="minorHAnsi" w:hAnsiTheme="minorHAnsi" w:cstheme="minorHAnsi"/>
          <w:bCs/>
          <w:i/>
          <w:sz w:val="22"/>
          <w:szCs w:val="22"/>
        </w:rPr>
        <w:t xml:space="preserve">not </w:t>
      </w:r>
      <w:r w:rsidRPr="00BD047C">
        <w:rPr>
          <w:rFonts w:asciiTheme="minorHAnsi" w:hAnsiTheme="minorHAnsi" w:cstheme="minorHAnsi"/>
          <w:bCs/>
          <w:i/>
          <w:sz w:val="22"/>
          <w:szCs w:val="22"/>
        </w:rPr>
        <w:t>added</w:t>
      </w:r>
    </w:p>
    <w:p w:rsidR="00867C42" w:rsidRPr="00867C42" w:rsidRDefault="00867C42" w:rsidP="00D368E3">
      <w:pPr>
        <w:pStyle w:val="ListParagraph"/>
        <w:autoSpaceDE w:val="0"/>
        <w:autoSpaceDN w:val="0"/>
        <w:adjustRightInd w:val="0"/>
        <w:ind w:left="0"/>
        <w:jc w:val="both"/>
        <w:rPr>
          <w:rFonts w:asciiTheme="minorHAnsi" w:hAnsiTheme="minorHAnsi" w:cstheme="minorHAnsi"/>
          <w:bCs/>
          <w:sz w:val="22"/>
          <w:szCs w:val="22"/>
        </w:rPr>
      </w:pPr>
      <w:r w:rsidRPr="00867C42">
        <w:rPr>
          <w:rFonts w:asciiTheme="minorHAnsi" w:hAnsiTheme="minorHAnsi" w:cstheme="minorHAnsi"/>
          <w:bCs/>
          <w:sz w:val="22"/>
          <w:szCs w:val="22"/>
          <w:u w:val="single"/>
        </w:rPr>
        <w:t>Haloperidol</w:t>
      </w:r>
      <w:r w:rsidRPr="00867C42">
        <w:rPr>
          <w:rFonts w:asciiTheme="minorHAnsi" w:hAnsiTheme="minorHAnsi" w:cstheme="minorHAnsi"/>
          <w:bCs/>
          <w:sz w:val="22"/>
          <w:szCs w:val="22"/>
        </w:rPr>
        <w:t xml:space="preserve">: </w:t>
      </w:r>
      <w:r w:rsidRPr="00867C42">
        <w:rPr>
          <w:rFonts w:asciiTheme="minorHAnsi" w:hAnsiTheme="minorHAnsi" w:cstheme="minorHAnsi"/>
          <w:bCs/>
          <w:i/>
          <w:sz w:val="22"/>
          <w:szCs w:val="22"/>
        </w:rPr>
        <w:t>not added</w:t>
      </w:r>
    </w:p>
    <w:p w:rsidR="00867C42" w:rsidRPr="00867C42" w:rsidRDefault="00867C42" w:rsidP="00D368E3">
      <w:pPr>
        <w:pStyle w:val="ListParagraph"/>
        <w:autoSpaceDE w:val="0"/>
        <w:autoSpaceDN w:val="0"/>
        <w:adjustRightInd w:val="0"/>
        <w:ind w:left="0"/>
        <w:jc w:val="both"/>
        <w:rPr>
          <w:rFonts w:asciiTheme="minorHAnsi" w:hAnsiTheme="minorHAnsi" w:cstheme="minorHAnsi"/>
          <w:bCs/>
          <w:sz w:val="22"/>
          <w:szCs w:val="22"/>
        </w:rPr>
      </w:pPr>
      <w:r w:rsidRPr="00867C42">
        <w:rPr>
          <w:rFonts w:asciiTheme="minorHAnsi" w:hAnsiTheme="minorHAnsi" w:cstheme="minorHAnsi"/>
          <w:bCs/>
          <w:sz w:val="22"/>
          <w:szCs w:val="22"/>
          <w:u w:val="single"/>
        </w:rPr>
        <w:t>Cyclizine</w:t>
      </w:r>
      <w:r w:rsidRPr="00867C42">
        <w:rPr>
          <w:rFonts w:asciiTheme="minorHAnsi" w:hAnsiTheme="minorHAnsi" w:cstheme="minorHAnsi"/>
          <w:bCs/>
          <w:sz w:val="22"/>
          <w:szCs w:val="22"/>
        </w:rPr>
        <w:t xml:space="preserve">: </w:t>
      </w:r>
      <w:r w:rsidRPr="00867C42">
        <w:rPr>
          <w:rFonts w:asciiTheme="minorHAnsi" w:hAnsiTheme="minorHAnsi" w:cstheme="minorHAnsi"/>
          <w:bCs/>
          <w:i/>
          <w:sz w:val="22"/>
          <w:szCs w:val="22"/>
        </w:rPr>
        <w:t>not added</w:t>
      </w:r>
    </w:p>
    <w:p w:rsidR="00867C42" w:rsidRDefault="00BD047C" w:rsidP="00D368E3">
      <w:pPr>
        <w:pStyle w:val="ListParagraph"/>
        <w:autoSpaceDE w:val="0"/>
        <w:autoSpaceDN w:val="0"/>
        <w:adjustRightInd w:val="0"/>
        <w:ind w:left="0"/>
        <w:jc w:val="both"/>
        <w:rPr>
          <w:rFonts w:asciiTheme="minorHAnsi" w:hAnsiTheme="minorHAnsi" w:cstheme="minorHAnsi"/>
          <w:bCs/>
          <w:i/>
          <w:sz w:val="22"/>
          <w:szCs w:val="22"/>
        </w:rPr>
      </w:pPr>
      <w:r>
        <w:rPr>
          <w:rFonts w:asciiTheme="minorHAnsi" w:hAnsiTheme="minorHAnsi" w:cstheme="minorHAnsi"/>
          <w:bCs/>
          <w:sz w:val="22"/>
          <w:szCs w:val="22"/>
          <w:u w:val="single"/>
        </w:rPr>
        <w:t>Dexamethasone/Betamethasone</w:t>
      </w:r>
      <w:r w:rsidR="00867C42" w:rsidRPr="00867C42">
        <w:rPr>
          <w:rFonts w:asciiTheme="minorHAnsi" w:hAnsiTheme="minorHAnsi" w:cstheme="minorHAnsi"/>
          <w:bCs/>
          <w:sz w:val="22"/>
          <w:szCs w:val="22"/>
        </w:rPr>
        <w:t xml:space="preserve">: </w:t>
      </w:r>
      <w:r w:rsidR="00867C42" w:rsidRPr="00867C42">
        <w:rPr>
          <w:rFonts w:asciiTheme="minorHAnsi" w:hAnsiTheme="minorHAnsi" w:cstheme="minorHAnsi"/>
          <w:bCs/>
          <w:i/>
          <w:sz w:val="22"/>
          <w:szCs w:val="22"/>
        </w:rPr>
        <w:t>not added</w:t>
      </w:r>
    </w:p>
    <w:p w:rsidR="00BD047C" w:rsidRDefault="00BD047C" w:rsidP="00D368E3">
      <w:pPr>
        <w:pStyle w:val="ListParagraph"/>
        <w:autoSpaceDE w:val="0"/>
        <w:autoSpaceDN w:val="0"/>
        <w:adjustRightInd w:val="0"/>
        <w:ind w:left="0"/>
        <w:jc w:val="both"/>
        <w:rPr>
          <w:rFonts w:asciiTheme="minorHAnsi" w:hAnsiTheme="minorHAnsi" w:cstheme="minorHAnsi"/>
          <w:bCs/>
          <w:i/>
          <w:sz w:val="22"/>
          <w:szCs w:val="22"/>
        </w:rPr>
      </w:pPr>
      <w:r w:rsidRPr="00BD047C">
        <w:rPr>
          <w:rFonts w:asciiTheme="minorHAnsi" w:hAnsiTheme="minorHAnsi" w:cstheme="minorHAnsi"/>
          <w:bCs/>
          <w:sz w:val="22"/>
          <w:szCs w:val="22"/>
          <w:u w:val="single"/>
        </w:rPr>
        <w:t>Lorazepam:</w:t>
      </w:r>
      <w:r>
        <w:rPr>
          <w:rFonts w:asciiTheme="minorHAnsi" w:hAnsiTheme="minorHAnsi" w:cstheme="minorHAnsi"/>
          <w:bCs/>
          <w:i/>
          <w:sz w:val="22"/>
          <w:szCs w:val="22"/>
        </w:rPr>
        <w:t xml:space="preserve"> not added</w:t>
      </w:r>
    </w:p>
    <w:p w:rsidR="00BD047C" w:rsidRPr="00BD047C" w:rsidRDefault="00BD047C" w:rsidP="00D368E3">
      <w:pPr>
        <w:pStyle w:val="ListParagraph"/>
        <w:autoSpaceDE w:val="0"/>
        <w:autoSpaceDN w:val="0"/>
        <w:adjustRightInd w:val="0"/>
        <w:ind w:left="0"/>
        <w:jc w:val="both"/>
        <w:rPr>
          <w:rFonts w:asciiTheme="minorHAnsi" w:hAnsiTheme="minorHAnsi" w:cstheme="minorHAnsi"/>
          <w:bCs/>
          <w:sz w:val="22"/>
          <w:szCs w:val="22"/>
        </w:rPr>
      </w:pPr>
    </w:p>
    <w:p w:rsidR="00867C42" w:rsidRPr="00671B01" w:rsidRDefault="00867C42" w:rsidP="00D368E3">
      <w:pPr>
        <w:pStyle w:val="ListParagraph"/>
        <w:autoSpaceDE w:val="0"/>
        <w:autoSpaceDN w:val="0"/>
        <w:adjustRightInd w:val="0"/>
        <w:ind w:left="0"/>
        <w:jc w:val="both"/>
        <w:rPr>
          <w:rFonts w:asciiTheme="minorHAnsi" w:hAnsiTheme="minorHAnsi" w:cstheme="minorHAnsi"/>
          <w:b/>
          <w:bCs/>
          <w:sz w:val="22"/>
          <w:szCs w:val="22"/>
        </w:rPr>
      </w:pPr>
      <w:r w:rsidRPr="00BD047C">
        <w:rPr>
          <w:rFonts w:asciiTheme="minorHAnsi" w:hAnsiTheme="minorHAnsi" w:cstheme="minorHAnsi"/>
          <w:bCs/>
          <w:i/>
          <w:sz w:val="22"/>
          <w:szCs w:val="22"/>
        </w:rPr>
        <w:t>Metoclopramide, oral:</w:t>
      </w:r>
      <w:r w:rsidRPr="00BD047C">
        <w:rPr>
          <w:rFonts w:asciiTheme="minorHAnsi" w:hAnsiTheme="minorHAnsi" w:cstheme="minorHAnsi"/>
          <w:bCs/>
          <w:sz w:val="22"/>
          <w:szCs w:val="22"/>
        </w:rPr>
        <w:t xml:space="preserve"> Palliation recommendations for adults aligned with</w:t>
      </w:r>
      <w:r>
        <w:rPr>
          <w:rFonts w:asciiTheme="minorHAnsi" w:hAnsiTheme="minorHAnsi" w:cstheme="minorHAnsi"/>
          <w:bCs/>
          <w:sz w:val="22"/>
          <w:szCs w:val="22"/>
        </w:rPr>
        <w:t>the nausea and vomiting</w:t>
      </w:r>
      <w:r w:rsidRPr="002626F0">
        <w:rPr>
          <w:rFonts w:asciiTheme="minorHAnsi" w:hAnsiTheme="minorHAnsi" w:cstheme="minorHAnsi"/>
          <w:bCs/>
          <w:sz w:val="22"/>
          <w:szCs w:val="22"/>
        </w:rPr>
        <w:t xml:space="preserve"> STG in the PHC gastro-intestinal chapter</w:t>
      </w:r>
      <w:r>
        <w:rPr>
          <w:rFonts w:asciiTheme="minorHAnsi" w:hAnsiTheme="minorHAnsi" w:cstheme="minorHAnsi"/>
          <w:bCs/>
          <w:sz w:val="22"/>
          <w:szCs w:val="22"/>
        </w:rPr>
        <w:t>; and children recommendations aligned to the Paediatric Hospital level STG, 2016</w:t>
      </w:r>
      <w:r w:rsidR="00BD047C">
        <w:rPr>
          <w:rFonts w:asciiTheme="minorHAnsi" w:hAnsiTheme="minorHAnsi" w:cstheme="minorHAnsi"/>
          <w:bCs/>
          <w:sz w:val="22"/>
          <w:szCs w:val="22"/>
        </w:rPr>
        <w:t xml:space="preserve"> and a weight-band table for metoclopramide dosing in children was developed:</w:t>
      </w:r>
    </w:p>
    <w:tbl>
      <w:tblPr>
        <w:tblStyle w:val="TableGrid"/>
        <w:tblW w:w="0" w:type="auto"/>
        <w:tblLook w:val="04A0"/>
      </w:tblPr>
      <w:tblGrid>
        <w:gridCol w:w="9242"/>
      </w:tblGrid>
      <w:tr w:rsidR="00867C42" w:rsidRPr="0078164A" w:rsidTr="00867C42">
        <w:tc>
          <w:tcPr>
            <w:tcW w:w="9242" w:type="dxa"/>
          </w:tcPr>
          <w:p w:rsidR="00867C42" w:rsidRPr="00671B01" w:rsidRDefault="00867C42" w:rsidP="00D368E3">
            <w:pPr>
              <w:suppressAutoHyphens/>
              <w:overflowPunct w:val="0"/>
              <w:autoSpaceDE w:val="0"/>
              <w:textAlignment w:val="baseline"/>
              <w:rPr>
                <w:rFonts w:asciiTheme="minorHAnsi" w:eastAsia="Times New Roman" w:hAnsiTheme="minorHAnsi" w:cstheme="minorHAnsi"/>
                <w:sz w:val="18"/>
                <w:u w:val="single"/>
                <w:lang w:val="en-GB" w:eastAsia="ar-SA"/>
              </w:rPr>
            </w:pPr>
            <w:r w:rsidRPr="00671B01">
              <w:rPr>
                <w:rFonts w:asciiTheme="minorHAnsi" w:eastAsia="Times New Roman" w:hAnsiTheme="minorHAnsi" w:cstheme="minorHAnsi"/>
                <w:sz w:val="18"/>
                <w:u w:val="single"/>
                <w:lang w:val="en-GB" w:eastAsia="ar-SA"/>
              </w:rPr>
              <w:t>Children:</w:t>
            </w:r>
          </w:p>
          <w:p w:rsidR="00867C42" w:rsidRPr="00671B01" w:rsidRDefault="00867C42" w:rsidP="00D368E3">
            <w:pPr>
              <w:numPr>
                <w:ilvl w:val="0"/>
                <w:numId w:val="8"/>
              </w:numPr>
              <w:tabs>
                <w:tab w:val="num" w:pos="284"/>
              </w:tabs>
              <w:suppressAutoHyphens/>
              <w:overflowPunct w:val="0"/>
              <w:autoSpaceDE w:val="0"/>
              <w:ind w:left="284" w:hanging="284"/>
              <w:textAlignment w:val="baseline"/>
              <w:rPr>
                <w:rFonts w:asciiTheme="minorHAnsi" w:eastAsia="Times New Roman" w:hAnsiTheme="minorHAnsi" w:cstheme="minorHAnsi"/>
                <w:color w:val="000000"/>
                <w:sz w:val="18"/>
                <w:szCs w:val="18"/>
                <w:lang w:val="en-GB"/>
              </w:rPr>
            </w:pPr>
            <w:r w:rsidRPr="00671B01">
              <w:rPr>
                <w:rFonts w:asciiTheme="minorHAnsi" w:eastAsia="Times New Roman" w:hAnsiTheme="minorHAnsi" w:cstheme="minorHAnsi"/>
                <w:color w:val="000000"/>
                <w:sz w:val="18"/>
                <w:szCs w:val="18"/>
                <w:lang w:val="en-GB"/>
              </w:rPr>
              <w:t>Metoclopramide, oral, 0.1 mg/kg/dose, 8–12 hourly.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6"/>
              <w:gridCol w:w="1605"/>
              <w:gridCol w:w="1605"/>
              <w:gridCol w:w="3460"/>
            </w:tblGrid>
            <w:tr w:rsidR="00867C42" w:rsidRPr="00671B01" w:rsidTr="00867C42">
              <w:trPr>
                <w:trHeight w:val="405"/>
              </w:trPr>
              <w:tc>
                <w:tcPr>
                  <w:tcW w:w="1301" w:type="pct"/>
                </w:tcPr>
                <w:p w:rsidR="00867C42" w:rsidRPr="00671B01" w:rsidRDefault="00867C42" w:rsidP="00D368E3">
                  <w:pPr>
                    <w:spacing w:after="0" w:line="240" w:lineRule="auto"/>
                    <w:jc w:val="center"/>
                    <w:rPr>
                      <w:rFonts w:eastAsia="Times New Roman" w:cstheme="minorHAnsi"/>
                      <w:b/>
                      <w:bCs/>
                      <w:sz w:val="18"/>
                      <w:szCs w:val="24"/>
                    </w:rPr>
                  </w:pPr>
                  <w:r w:rsidRPr="00671B01">
                    <w:rPr>
                      <w:rFonts w:eastAsia="Times New Roman" w:cstheme="minorHAnsi"/>
                      <w:b/>
                      <w:bCs/>
                      <w:sz w:val="18"/>
                      <w:szCs w:val="24"/>
                    </w:rPr>
                    <w:t>Weight</w:t>
                  </w:r>
                </w:p>
                <w:p w:rsidR="00867C42" w:rsidRPr="00671B01" w:rsidRDefault="00867C42" w:rsidP="00D368E3">
                  <w:pPr>
                    <w:widowControl w:val="0"/>
                    <w:spacing w:after="0" w:line="240" w:lineRule="auto"/>
                    <w:jc w:val="center"/>
                    <w:rPr>
                      <w:rFonts w:eastAsia="Times New Roman" w:cstheme="minorHAnsi"/>
                      <w:b/>
                      <w:bCs/>
                      <w:sz w:val="18"/>
                      <w:szCs w:val="24"/>
                    </w:rPr>
                  </w:pPr>
                  <w:r w:rsidRPr="00671B01">
                    <w:rPr>
                      <w:rFonts w:eastAsia="Times New Roman" w:cstheme="minorHAnsi"/>
                      <w:sz w:val="18"/>
                      <w:szCs w:val="24"/>
                    </w:rPr>
                    <w:t>kg</w:t>
                  </w:r>
                </w:p>
              </w:tc>
              <w:tc>
                <w:tcPr>
                  <w:tcW w:w="890" w:type="pct"/>
                </w:tcPr>
                <w:p w:rsidR="00867C42" w:rsidRPr="00671B01" w:rsidRDefault="00867C42" w:rsidP="00D368E3">
                  <w:pPr>
                    <w:spacing w:after="0" w:line="240" w:lineRule="auto"/>
                    <w:jc w:val="center"/>
                    <w:rPr>
                      <w:rFonts w:eastAsia="Times New Roman" w:cstheme="minorHAnsi"/>
                      <w:b/>
                      <w:bCs/>
                      <w:sz w:val="18"/>
                      <w:szCs w:val="24"/>
                    </w:rPr>
                  </w:pPr>
                  <w:r w:rsidRPr="00671B01">
                    <w:rPr>
                      <w:rFonts w:eastAsia="Times New Roman" w:cstheme="minorHAnsi"/>
                      <w:b/>
                      <w:bCs/>
                      <w:sz w:val="18"/>
                      <w:szCs w:val="24"/>
                    </w:rPr>
                    <w:t>Dose</w:t>
                  </w:r>
                </w:p>
                <w:p w:rsidR="00867C42" w:rsidRPr="00671B01" w:rsidRDefault="00867C42" w:rsidP="00D368E3">
                  <w:pPr>
                    <w:widowControl w:val="0"/>
                    <w:spacing w:after="0" w:line="240" w:lineRule="auto"/>
                    <w:jc w:val="center"/>
                    <w:rPr>
                      <w:rFonts w:eastAsia="Times New Roman" w:cstheme="minorHAnsi"/>
                      <w:b/>
                      <w:bCs/>
                      <w:sz w:val="18"/>
                      <w:szCs w:val="24"/>
                    </w:rPr>
                  </w:pPr>
                  <w:r w:rsidRPr="00671B01">
                    <w:rPr>
                      <w:rFonts w:eastAsia="Times New Roman" w:cstheme="minorHAnsi"/>
                      <w:sz w:val="18"/>
                      <w:szCs w:val="24"/>
                    </w:rPr>
                    <w:t>mg</w:t>
                  </w:r>
                </w:p>
              </w:tc>
              <w:tc>
                <w:tcPr>
                  <w:tcW w:w="890" w:type="pct"/>
                </w:tcPr>
                <w:p w:rsidR="00867C42" w:rsidRPr="00671B01" w:rsidRDefault="00867C42" w:rsidP="00D368E3">
                  <w:pPr>
                    <w:spacing w:after="0" w:line="240" w:lineRule="auto"/>
                    <w:jc w:val="center"/>
                    <w:rPr>
                      <w:rFonts w:eastAsia="Times New Roman" w:cstheme="minorHAnsi"/>
                      <w:b/>
                      <w:bCs/>
                      <w:sz w:val="18"/>
                      <w:szCs w:val="24"/>
                    </w:rPr>
                  </w:pPr>
                  <w:r w:rsidRPr="00671B01">
                    <w:rPr>
                      <w:rFonts w:eastAsia="Times New Roman" w:cstheme="minorHAnsi"/>
                      <w:b/>
                      <w:bCs/>
                      <w:sz w:val="18"/>
                      <w:szCs w:val="24"/>
                    </w:rPr>
                    <w:t>Syrup</w:t>
                  </w:r>
                </w:p>
                <w:p w:rsidR="00867C42" w:rsidRPr="00671B01" w:rsidRDefault="00867C42" w:rsidP="00D368E3">
                  <w:pPr>
                    <w:widowControl w:val="0"/>
                    <w:spacing w:after="0" w:line="240" w:lineRule="auto"/>
                    <w:jc w:val="center"/>
                    <w:rPr>
                      <w:rFonts w:eastAsia="Times New Roman" w:cstheme="minorHAnsi"/>
                      <w:b/>
                      <w:bCs/>
                      <w:sz w:val="18"/>
                      <w:szCs w:val="24"/>
                    </w:rPr>
                  </w:pPr>
                  <w:r w:rsidRPr="00671B01">
                    <w:rPr>
                      <w:rFonts w:eastAsia="Times New Roman" w:cstheme="minorHAnsi"/>
                      <w:sz w:val="18"/>
                      <w:szCs w:val="24"/>
                    </w:rPr>
                    <w:t>5 mg/5 mL</w:t>
                  </w:r>
                </w:p>
              </w:tc>
              <w:tc>
                <w:tcPr>
                  <w:tcW w:w="1919" w:type="pct"/>
                </w:tcPr>
                <w:p w:rsidR="00867C42" w:rsidRPr="00671B01" w:rsidRDefault="00867C42" w:rsidP="00D368E3">
                  <w:pPr>
                    <w:spacing w:after="0" w:line="240" w:lineRule="auto"/>
                    <w:jc w:val="center"/>
                    <w:rPr>
                      <w:rFonts w:eastAsia="Times New Roman" w:cstheme="minorHAnsi"/>
                      <w:b/>
                      <w:bCs/>
                      <w:sz w:val="18"/>
                      <w:szCs w:val="24"/>
                    </w:rPr>
                  </w:pPr>
                  <w:r w:rsidRPr="00671B01">
                    <w:rPr>
                      <w:rFonts w:eastAsia="Times New Roman" w:cstheme="minorHAnsi"/>
                      <w:b/>
                      <w:bCs/>
                      <w:sz w:val="18"/>
                      <w:szCs w:val="24"/>
                    </w:rPr>
                    <w:t>Age</w:t>
                  </w:r>
                </w:p>
                <w:p w:rsidR="00867C42" w:rsidRPr="00671B01" w:rsidRDefault="00867C42" w:rsidP="00D368E3">
                  <w:pPr>
                    <w:widowControl w:val="0"/>
                    <w:spacing w:after="0" w:line="240" w:lineRule="auto"/>
                    <w:jc w:val="center"/>
                    <w:rPr>
                      <w:rFonts w:eastAsia="Times New Roman" w:cstheme="minorHAnsi"/>
                      <w:b/>
                      <w:bCs/>
                      <w:sz w:val="18"/>
                      <w:szCs w:val="24"/>
                    </w:rPr>
                  </w:pPr>
                  <w:r w:rsidRPr="00671B01">
                    <w:rPr>
                      <w:rFonts w:eastAsia="Times New Roman" w:cstheme="minorHAnsi"/>
                      <w:sz w:val="18"/>
                      <w:szCs w:val="24"/>
                    </w:rPr>
                    <w:t>months/years</w:t>
                  </w:r>
                </w:p>
              </w:tc>
            </w:tr>
            <w:tr w:rsidR="00867C42" w:rsidRPr="00671B01" w:rsidTr="00867C42">
              <w:tc>
                <w:tcPr>
                  <w:tcW w:w="1301"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lastRenderedPageBreak/>
                    <w:t>˃9–11 kg</w:t>
                  </w:r>
                </w:p>
              </w:tc>
              <w:tc>
                <w:tcPr>
                  <w:tcW w:w="890"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1 mg</w:t>
                  </w:r>
                </w:p>
              </w:tc>
              <w:tc>
                <w:tcPr>
                  <w:tcW w:w="890"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1 mL</w:t>
                  </w:r>
                </w:p>
              </w:tc>
              <w:tc>
                <w:tcPr>
                  <w:tcW w:w="1919"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˃12–18 months</w:t>
                  </w:r>
                </w:p>
              </w:tc>
            </w:tr>
            <w:tr w:rsidR="00867C42" w:rsidRPr="00671B01" w:rsidTr="00867C42">
              <w:tc>
                <w:tcPr>
                  <w:tcW w:w="1301"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˃11–14 kg</w:t>
                  </w:r>
                </w:p>
              </w:tc>
              <w:tc>
                <w:tcPr>
                  <w:tcW w:w="890"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1.2 mg</w:t>
                  </w:r>
                </w:p>
              </w:tc>
              <w:tc>
                <w:tcPr>
                  <w:tcW w:w="890"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1.2 mL</w:t>
                  </w:r>
                </w:p>
              </w:tc>
              <w:tc>
                <w:tcPr>
                  <w:tcW w:w="1919"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˃2–3 years</w:t>
                  </w:r>
                </w:p>
              </w:tc>
            </w:tr>
            <w:tr w:rsidR="00867C42" w:rsidRPr="00671B01" w:rsidTr="00867C42">
              <w:tc>
                <w:tcPr>
                  <w:tcW w:w="1301"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˃14–17.5 kg</w:t>
                  </w:r>
                </w:p>
              </w:tc>
              <w:tc>
                <w:tcPr>
                  <w:tcW w:w="890"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1.6 mg</w:t>
                  </w:r>
                </w:p>
              </w:tc>
              <w:tc>
                <w:tcPr>
                  <w:tcW w:w="890"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1.6 mL</w:t>
                  </w:r>
                </w:p>
              </w:tc>
              <w:tc>
                <w:tcPr>
                  <w:tcW w:w="1919"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&gt;3–5 years</w:t>
                  </w:r>
                </w:p>
              </w:tc>
            </w:tr>
            <w:tr w:rsidR="00867C42" w:rsidRPr="00671B01" w:rsidTr="00867C42">
              <w:tc>
                <w:tcPr>
                  <w:tcW w:w="1301"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˃17.5–25 kg</w:t>
                  </w:r>
                </w:p>
              </w:tc>
              <w:tc>
                <w:tcPr>
                  <w:tcW w:w="890"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2 mg</w:t>
                  </w:r>
                </w:p>
              </w:tc>
              <w:tc>
                <w:tcPr>
                  <w:tcW w:w="890"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2 mL</w:t>
                  </w:r>
                </w:p>
              </w:tc>
              <w:tc>
                <w:tcPr>
                  <w:tcW w:w="1919"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&gt;5–7 years</w:t>
                  </w:r>
                </w:p>
              </w:tc>
            </w:tr>
            <w:tr w:rsidR="00867C42" w:rsidRPr="00671B01" w:rsidTr="00867C42">
              <w:tc>
                <w:tcPr>
                  <w:tcW w:w="1301"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˃25–35 kg</w:t>
                  </w:r>
                </w:p>
              </w:tc>
              <w:tc>
                <w:tcPr>
                  <w:tcW w:w="890"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3 mg</w:t>
                  </w:r>
                </w:p>
              </w:tc>
              <w:tc>
                <w:tcPr>
                  <w:tcW w:w="890"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3 mL</w:t>
                  </w:r>
                </w:p>
              </w:tc>
              <w:tc>
                <w:tcPr>
                  <w:tcW w:w="1919"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&gt;7–11 years</w:t>
                  </w:r>
                </w:p>
              </w:tc>
            </w:tr>
            <w:tr w:rsidR="00867C42" w:rsidRPr="00671B01" w:rsidTr="00867C42">
              <w:tc>
                <w:tcPr>
                  <w:tcW w:w="1301"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˃35–55 kg</w:t>
                  </w:r>
                </w:p>
              </w:tc>
              <w:tc>
                <w:tcPr>
                  <w:tcW w:w="890"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4.5 mg</w:t>
                  </w:r>
                </w:p>
              </w:tc>
              <w:tc>
                <w:tcPr>
                  <w:tcW w:w="890"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4.5 mL</w:t>
                  </w:r>
                </w:p>
              </w:tc>
              <w:tc>
                <w:tcPr>
                  <w:tcW w:w="1919" w:type="pct"/>
                  <w:vAlign w:val="center"/>
                </w:tcPr>
                <w:p w:rsidR="00867C42" w:rsidRPr="00671B01" w:rsidRDefault="00867C42" w:rsidP="00D368E3">
                  <w:pPr>
                    <w:suppressAutoHyphens/>
                    <w:overflowPunct w:val="0"/>
                    <w:autoSpaceDE w:val="0"/>
                    <w:spacing w:after="0" w:line="240" w:lineRule="auto"/>
                    <w:jc w:val="center"/>
                    <w:textAlignment w:val="baseline"/>
                    <w:rPr>
                      <w:rFonts w:eastAsia="Times New Roman" w:cstheme="minorHAnsi"/>
                      <w:color w:val="000000"/>
                      <w:sz w:val="18"/>
                      <w:szCs w:val="18"/>
                      <w:lang w:eastAsia="ar-SA"/>
                    </w:rPr>
                  </w:pPr>
                  <w:r w:rsidRPr="00671B01">
                    <w:rPr>
                      <w:rFonts w:eastAsia="Times New Roman" w:cstheme="minorHAnsi"/>
                      <w:color w:val="000000"/>
                      <w:sz w:val="18"/>
                      <w:szCs w:val="18"/>
                      <w:lang w:eastAsia="ar-SA"/>
                    </w:rPr>
                    <w:t>&gt;11–15 years</w:t>
                  </w:r>
                </w:p>
              </w:tc>
            </w:tr>
          </w:tbl>
          <w:p w:rsidR="00867C42" w:rsidRPr="0078164A" w:rsidRDefault="00867C42" w:rsidP="00D368E3">
            <w:pPr>
              <w:pStyle w:val="ListParagraph"/>
              <w:autoSpaceDE w:val="0"/>
              <w:autoSpaceDN w:val="0"/>
              <w:adjustRightInd w:val="0"/>
              <w:ind w:left="0"/>
              <w:jc w:val="both"/>
              <w:rPr>
                <w:rFonts w:asciiTheme="minorHAnsi" w:hAnsiTheme="minorHAnsi" w:cstheme="minorHAnsi"/>
                <w:bCs/>
                <w:sz w:val="22"/>
                <w:szCs w:val="22"/>
              </w:rPr>
            </w:pPr>
          </w:p>
        </w:tc>
      </w:tr>
    </w:tbl>
    <w:p w:rsidR="00BD047C" w:rsidRPr="00F74046" w:rsidRDefault="00BD047C" w:rsidP="00D368E3">
      <w:pPr>
        <w:autoSpaceDE w:val="0"/>
        <w:autoSpaceDN w:val="0"/>
        <w:adjustRightInd w:val="0"/>
        <w:spacing w:after="0" w:line="240" w:lineRule="auto"/>
        <w:jc w:val="both"/>
        <w:rPr>
          <w:rFonts w:cstheme="minorHAnsi"/>
          <w:b/>
          <w:bCs/>
        </w:rPr>
      </w:pPr>
      <w:r w:rsidRPr="00F74046">
        <w:rPr>
          <w:rFonts w:cstheme="minorHAnsi"/>
          <w:b/>
          <w:bCs/>
        </w:rPr>
        <w:lastRenderedPageBreak/>
        <w:t>Level of Evidence: III Guidelines</w:t>
      </w:r>
    </w:p>
    <w:p w:rsidR="00867C42" w:rsidRDefault="00867C42" w:rsidP="00D368E3">
      <w:pPr>
        <w:pStyle w:val="ListParagraph"/>
        <w:autoSpaceDE w:val="0"/>
        <w:autoSpaceDN w:val="0"/>
        <w:adjustRightInd w:val="0"/>
        <w:ind w:left="0"/>
        <w:jc w:val="both"/>
        <w:rPr>
          <w:rFonts w:asciiTheme="minorHAnsi" w:hAnsiTheme="minorHAnsi" w:cstheme="minorHAnsi"/>
          <w:bCs/>
          <w:sz w:val="22"/>
          <w:szCs w:val="22"/>
        </w:rPr>
      </w:pPr>
    </w:p>
    <w:p w:rsidR="00867C42" w:rsidRPr="00F74046" w:rsidRDefault="00867C42" w:rsidP="00D368E3">
      <w:pPr>
        <w:autoSpaceDE w:val="0"/>
        <w:autoSpaceDN w:val="0"/>
        <w:adjustRightInd w:val="0"/>
        <w:spacing w:after="0" w:line="240" w:lineRule="auto"/>
        <w:jc w:val="both"/>
        <w:rPr>
          <w:rFonts w:cstheme="minorHAnsi"/>
          <w:bCs/>
          <w:color w:val="000000"/>
        </w:rPr>
      </w:pPr>
      <w:r w:rsidRPr="00F74046">
        <w:rPr>
          <w:rFonts w:cstheme="minorHAnsi"/>
          <w:bCs/>
          <w:i/>
        </w:rPr>
        <w:t>Ondansetron:</w:t>
      </w:r>
      <w:r w:rsidRPr="00F74046">
        <w:rPr>
          <w:rFonts w:cstheme="minorHAnsi"/>
          <w:bCs/>
        </w:rPr>
        <w:t xml:space="preserve"> The </w:t>
      </w:r>
      <w:r w:rsidR="00BD047C">
        <w:rPr>
          <w:rFonts w:cstheme="minorHAnsi"/>
          <w:bCs/>
        </w:rPr>
        <w:t xml:space="preserve">PHC </w:t>
      </w:r>
      <w:r w:rsidRPr="00F74046">
        <w:rPr>
          <w:rFonts w:cstheme="minorHAnsi"/>
          <w:bCs/>
        </w:rPr>
        <w:t>Committee was of the opinion that ondansetron would mostly be indicated for nausea and vomiting associated with chemotherapy and thus, should not be included in the PHC EML. Down-referral management to provide access to the relevant medicines.</w:t>
      </w:r>
    </w:p>
    <w:p w:rsidR="00867C42" w:rsidRDefault="00867C42" w:rsidP="00D368E3">
      <w:pPr>
        <w:autoSpaceDE w:val="0"/>
        <w:autoSpaceDN w:val="0"/>
        <w:adjustRightInd w:val="0"/>
        <w:spacing w:after="0" w:line="240" w:lineRule="auto"/>
        <w:jc w:val="both"/>
        <w:rPr>
          <w:rFonts w:cstheme="minorHAnsi"/>
          <w:bCs/>
          <w:color w:val="000000"/>
        </w:rPr>
      </w:pPr>
    </w:p>
    <w:p w:rsidR="00BD047C" w:rsidRPr="00F74046" w:rsidRDefault="00BD047C" w:rsidP="00D368E3">
      <w:pPr>
        <w:autoSpaceDE w:val="0"/>
        <w:autoSpaceDN w:val="0"/>
        <w:adjustRightInd w:val="0"/>
        <w:spacing w:after="0" w:line="240" w:lineRule="auto"/>
        <w:jc w:val="both"/>
        <w:rPr>
          <w:rFonts w:cstheme="minorHAnsi"/>
          <w:bCs/>
          <w:color w:val="000000"/>
        </w:rPr>
      </w:pPr>
      <w:r w:rsidRPr="00BD047C">
        <w:rPr>
          <w:rFonts w:cstheme="minorHAnsi"/>
          <w:bCs/>
          <w:i/>
          <w:color w:val="000000"/>
        </w:rPr>
        <w:t>Haloperidol, cyclizine, steroids, lorazepam:</w:t>
      </w:r>
      <w:r>
        <w:rPr>
          <w:rFonts w:cstheme="minorHAnsi"/>
          <w:bCs/>
          <w:color w:val="000000"/>
        </w:rPr>
        <w:t xml:space="preserve"> T</w:t>
      </w:r>
      <w:r w:rsidRPr="00F74046">
        <w:rPr>
          <w:rFonts w:cstheme="minorHAnsi"/>
          <w:bCs/>
          <w:color w:val="000000"/>
        </w:rPr>
        <w:t xml:space="preserve">he </w:t>
      </w:r>
      <w:r>
        <w:rPr>
          <w:rFonts w:cstheme="minorHAnsi"/>
          <w:bCs/>
          <w:color w:val="000000"/>
        </w:rPr>
        <w:t xml:space="preserve">PHC </w:t>
      </w:r>
      <w:r w:rsidRPr="00F74046">
        <w:rPr>
          <w:rFonts w:cstheme="minorHAnsi"/>
          <w:bCs/>
          <w:color w:val="000000"/>
        </w:rPr>
        <w:t>Committee was of the opinion that management with these medicines shoul</w:t>
      </w:r>
      <w:r>
        <w:rPr>
          <w:rFonts w:cstheme="minorHAnsi"/>
          <w:bCs/>
          <w:color w:val="000000"/>
        </w:rPr>
        <w:t>d be at secondary level of care; with access via down-referral mechanisms</w:t>
      </w:r>
      <w:r w:rsidR="00DF5363">
        <w:rPr>
          <w:rFonts w:cstheme="minorHAnsi"/>
          <w:bCs/>
          <w:color w:val="000000"/>
        </w:rPr>
        <w:t xml:space="preserve">, as the </w:t>
      </w:r>
      <w:r w:rsidR="00B45225">
        <w:rPr>
          <w:rFonts w:cstheme="minorHAnsi"/>
          <w:bCs/>
          <w:color w:val="000000"/>
        </w:rPr>
        <w:t xml:space="preserve">underlying </w:t>
      </w:r>
      <w:r w:rsidR="00DF5363">
        <w:rPr>
          <w:rFonts w:cstheme="minorHAnsi"/>
          <w:bCs/>
          <w:color w:val="000000"/>
        </w:rPr>
        <w:t>conditions for which they are indicated are unlikely to be diagnosed at PHC level.</w:t>
      </w:r>
    </w:p>
    <w:p w:rsidR="00867C42" w:rsidRPr="00F74046" w:rsidRDefault="00867C42" w:rsidP="00D368E3">
      <w:pPr>
        <w:autoSpaceDE w:val="0"/>
        <w:autoSpaceDN w:val="0"/>
        <w:adjustRightInd w:val="0"/>
        <w:spacing w:after="0" w:line="240" w:lineRule="auto"/>
        <w:jc w:val="both"/>
        <w:rPr>
          <w:rFonts w:cstheme="minorHAnsi"/>
          <w:bCs/>
          <w:color w:val="000000"/>
        </w:rPr>
      </w:pPr>
      <w:r w:rsidRPr="00F74046">
        <w:rPr>
          <w:rFonts w:cstheme="minorHAnsi"/>
          <w:bCs/>
          <w:i/>
          <w:color w:val="000000"/>
        </w:rPr>
        <w:t>Gastroparesis</w:t>
      </w:r>
      <w:r w:rsidRPr="00F74046">
        <w:rPr>
          <w:rFonts w:cstheme="minorHAnsi"/>
          <w:bCs/>
          <w:color w:val="000000"/>
        </w:rPr>
        <w:t xml:space="preserve">: Although management is mentioned in the </w:t>
      </w:r>
      <w:r w:rsidR="00BD047C">
        <w:rPr>
          <w:rFonts w:cstheme="minorHAnsi"/>
          <w:bCs/>
          <w:color w:val="000000"/>
        </w:rPr>
        <w:t>e</w:t>
      </w:r>
      <w:r w:rsidRPr="00F74046">
        <w:rPr>
          <w:rFonts w:cstheme="minorHAnsi"/>
          <w:bCs/>
          <w:color w:val="000000"/>
        </w:rPr>
        <w:t xml:space="preserve">ndocrine chapter, the </w:t>
      </w:r>
      <w:r w:rsidR="00BD047C">
        <w:rPr>
          <w:rFonts w:cstheme="minorHAnsi"/>
          <w:bCs/>
          <w:color w:val="000000"/>
        </w:rPr>
        <w:t xml:space="preserve">PHC </w:t>
      </w:r>
      <w:r w:rsidRPr="00F74046">
        <w:rPr>
          <w:rFonts w:cstheme="minorHAnsi"/>
          <w:bCs/>
          <w:color w:val="000000"/>
        </w:rPr>
        <w:t xml:space="preserve">Committee was of the opinion that palliative care patients with gastroparesis should be managed at secondary level </w:t>
      </w:r>
      <w:r>
        <w:rPr>
          <w:rFonts w:cstheme="minorHAnsi"/>
          <w:bCs/>
          <w:color w:val="000000"/>
        </w:rPr>
        <w:t>of</w:t>
      </w:r>
      <w:r w:rsidRPr="00F74046">
        <w:rPr>
          <w:rFonts w:cstheme="minorHAnsi"/>
          <w:bCs/>
          <w:color w:val="000000"/>
        </w:rPr>
        <w:t xml:space="preserve"> care with down-referral.</w:t>
      </w:r>
    </w:p>
    <w:p w:rsidR="00867C42" w:rsidRDefault="00867C42" w:rsidP="00D368E3">
      <w:pPr>
        <w:autoSpaceDE w:val="0"/>
        <w:autoSpaceDN w:val="0"/>
        <w:adjustRightInd w:val="0"/>
        <w:spacing w:after="0" w:line="240" w:lineRule="auto"/>
        <w:jc w:val="both"/>
        <w:rPr>
          <w:rFonts w:cstheme="minorHAnsi"/>
          <w:b/>
          <w:bCs/>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BD047C" w:rsidRPr="00554428" w:rsidTr="003314AF">
        <w:tc>
          <w:tcPr>
            <w:tcW w:w="9242" w:type="dxa"/>
            <w:tcBorders>
              <w:top w:val="double" w:sz="4" w:space="0" w:color="C0C0C0"/>
              <w:left w:val="double" w:sz="4" w:space="0" w:color="C0C0C0"/>
              <w:bottom w:val="double" w:sz="4" w:space="0" w:color="C0C0C0"/>
              <w:right w:val="double" w:sz="4" w:space="0" w:color="C0C0C0"/>
            </w:tcBorders>
          </w:tcPr>
          <w:p w:rsidR="00BD047C" w:rsidRPr="004717B0" w:rsidRDefault="00BD047C" w:rsidP="00D368E3">
            <w:pPr>
              <w:widowControl w:val="0"/>
              <w:autoSpaceDE w:val="0"/>
              <w:autoSpaceDN w:val="0"/>
              <w:adjustRightInd w:val="0"/>
              <w:spacing w:before="120" w:after="120" w:line="240" w:lineRule="auto"/>
              <w:rPr>
                <w:rFonts w:cstheme="minorHAnsi"/>
                <w:b/>
              </w:rPr>
            </w:pPr>
            <w:r>
              <w:rPr>
                <w:rFonts w:cstheme="minorHAnsi"/>
                <w:b/>
              </w:rPr>
              <w:t>22.2.1ANXIETY</w:t>
            </w:r>
          </w:p>
        </w:tc>
      </w:tr>
    </w:tbl>
    <w:p w:rsidR="004F0F6D" w:rsidRDefault="004F0F6D" w:rsidP="00D368E3">
      <w:pPr>
        <w:pStyle w:val="ListParagraph"/>
        <w:autoSpaceDE w:val="0"/>
        <w:autoSpaceDN w:val="0"/>
        <w:adjustRightInd w:val="0"/>
        <w:ind w:left="0"/>
        <w:jc w:val="both"/>
        <w:rPr>
          <w:rFonts w:asciiTheme="minorHAnsi" w:hAnsiTheme="minorHAnsi" w:cstheme="minorHAnsi"/>
          <w:bCs/>
          <w:sz w:val="22"/>
          <w:szCs w:val="22"/>
        </w:rPr>
      </w:pPr>
      <w:r w:rsidRPr="004F0F6D">
        <w:rPr>
          <w:rFonts w:asciiTheme="minorHAnsi" w:hAnsiTheme="minorHAnsi" w:cstheme="minorHAnsi"/>
          <w:bCs/>
          <w:sz w:val="22"/>
          <w:szCs w:val="22"/>
          <w:u w:val="single"/>
        </w:rPr>
        <w:t>Fluoxetine, oral:</w:t>
      </w:r>
      <w:r w:rsidRPr="004F0F6D">
        <w:rPr>
          <w:rFonts w:asciiTheme="minorHAnsi" w:hAnsiTheme="minorHAnsi" w:cstheme="minorHAnsi"/>
          <w:bCs/>
          <w:i/>
          <w:sz w:val="22"/>
          <w:szCs w:val="22"/>
        </w:rPr>
        <w:t>added</w:t>
      </w:r>
    </w:p>
    <w:p w:rsidR="004F0F6D" w:rsidRDefault="004F0F6D" w:rsidP="00D368E3">
      <w:pPr>
        <w:pStyle w:val="ListParagraph"/>
        <w:autoSpaceDE w:val="0"/>
        <w:autoSpaceDN w:val="0"/>
        <w:adjustRightInd w:val="0"/>
        <w:ind w:left="0"/>
        <w:jc w:val="both"/>
        <w:rPr>
          <w:rFonts w:asciiTheme="minorHAnsi" w:hAnsiTheme="minorHAnsi" w:cstheme="minorHAnsi"/>
          <w:bCs/>
          <w:sz w:val="22"/>
          <w:szCs w:val="22"/>
        </w:rPr>
      </w:pPr>
      <w:r w:rsidRPr="004F0F6D">
        <w:rPr>
          <w:rFonts w:asciiTheme="minorHAnsi" w:hAnsiTheme="minorHAnsi" w:cstheme="minorHAnsi"/>
          <w:bCs/>
          <w:sz w:val="22"/>
          <w:szCs w:val="22"/>
          <w:u w:val="single"/>
        </w:rPr>
        <w:t>Citalopram, oral</w:t>
      </w:r>
      <w:r>
        <w:rPr>
          <w:rFonts w:asciiTheme="minorHAnsi" w:hAnsiTheme="minorHAnsi" w:cstheme="minorHAnsi"/>
          <w:bCs/>
          <w:sz w:val="22"/>
          <w:szCs w:val="22"/>
        </w:rPr>
        <w:t xml:space="preserve">: </w:t>
      </w:r>
      <w:r w:rsidRPr="004F0F6D">
        <w:rPr>
          <w:rFonts w:asciiTheme="minorHAnsi" w:hAnsiTheme="minorHAnsi" w:cstheme="minorHAnsi"/>
          <w:bCs/>
          <w:i/>
          <w:sz w:val="22"/>
          <w:szCs w:val="22"/>
        </w:rPr>
        <w:t>added</w:t>
      </w:r>
    </w:p>
    <w:p w:rsidR="004F0F6D" w:rsidRDefault="004F0F6D" w:rsidP="00D368E3">
      <w:pPr>
        <w:pStyle w:val="ListParagraph"/>
        <w:autoSpaceDE w:val="0"/>
        <w:autoSpaceDN w:val="0"/>
        <w:adjustRightInd w:val="0"/>
        <w:ind w:left="0"/>
        <w:jc w:val="both"/>
        <w:rPr>
          <w:rFonts w:asciiTheme="minorHAnsi" w:hAnsiTheme="minorHAnsi" w:cstheme="minorHAnsi"/>
          <w:bCs/>
          <w:sz w:val="22"/>
          <w:szCs w:val="22"/>
        </w:rPr>
      </w:pPr>
      <w:r w:rsidRPr="004F0F6D">
        <w:rPr>
          <w:rFonts w:asciiTheme="minorHAnsi" w:hAnsiTheme="minorHAnsi" w:cstheme="minorHAnsi"/>
          <w:bCs/>
          <w:sz w:val="22"/>
          <w:szCs w:val="22"/>
          <w:u w:val="single"/>
        </w:rPr>
        <w:t>Diazepam, oral:</w:t>
      </w:r>
      <w:r w:rsidRPr="004F0F6D">
        <w:rPr>
          <w:rFonts w:asciiTheme="minorHAnsi" w:hAnsiTheme="minorHAnsi" w:cstheme="minorHAnsi"/>
          <w:bCs/>
          <w:i/>
          <w:sz w:val="22"/>
          <w:szCs w:val="22"/>
        </w:rPr>
        <w:t>added</w:t>
      </w:r>
    </w:p>
    <w:p w:rsidR="004F0F6D" w:rsidRDefault="004F0F6D" w:rsidP="00D368E3">
      <w:pPr>
        <w:pStyle w:val="ListParagraph"/>
        <w:autoSpaceDE w:val="0"/>
        <w:autoSpaceDN w:val="0"/>
        <w:adjustRightInd w:val="0"/>
        <w:ind w:left="0"/>
        <w:jc w:val="both"/>
        <w:rPr>
          <w:rFonts w:asciiTheme="minorHAnsi" w:hAnsiTheme="minorHAnsi" w:cstheme="minorHAnsi"/>
          <w:bCs/>
          <w:sz w:val="22"/>
          <w:szCs w:val="22"/>
        </w:rPr>
      </w:pPr>
      <w:r w:rsidRPr="004F0F6D">
        <w:rPr>
          <w:rFonts w:asciiTheme="minorHAnsi" w:hAnsiTheme="minorHAnsi" w:cstheme="minorHAnsi"/>
          <w:bCs/>
          <w:sz w:val="22"/>
          <w:szCs w:val="22"/>
          <w:u w:val="single"/>
        </w:rPr>
        <w:t>Lorazepam, sublingual:</w:t>
      </w:r>
      <w:r w:rsidRPr="004F0F6D">
        <w:rPr>
          <w:rFonts w:asciiTheme="minorHAnsi" w:hAnsiTheme="minorHAnsi" w:cstheme="minorHAnsi"/>
          <w:bCs/>
          <w:i/>
          <w:sz w:val="22"/>
          <w:szCs w:val="22"/>
        </w:rPr>
        <w:t>not added</w:t>
      </w:r>
    </w:p>
    <w:p w:rsidR="004F0F6D" w:rsidRPr="004F0F6D" w:rsidRDefault="004F0F6D" w:rsidP="00D368E3">
      <w:pPr>
        <w:pStyle w:val="ListParagraph"/>
        <w:autoSpaceDE w:val="0"/>
        <w:autoSpaceDN w:val="0"/>
        <w:adjustRightInd w:val="0"/>
        <w:ind w:left="0"/>
        <w:jc w:val="both"/>
        <w:rPr>
          <w:rFonts w:asciiTheme="minorHAnsi" w:hAnsiTheme="minorHAnsi" w:cstheme="minorHAnsi"/>
          <w:bCs/>
          <w:sz w:val="22"/>
          <w:szCs w:val="22"/>
        </w:rPr>
      </w:pPr>
      <w:r w:rsidRPr="004F0F6D">
        <w:rPr>
          <w:rFonts w:asciiTheme="minorHAnsi" w:hAnsiTheme="minorHAnsi" w:cstheme="minorHAnsi"/>
          <w:bCs/>
          <w:sz w:val="22"/>
          <w:szCs w:val="22"/>
          <w:u w:val="single"/>
        </w:rPr>
        <w:t>Clonidine</w:t>
      </w:r>
      <w:r>
        <w:rPr>
          <w:rFonts w:asciiTheme="minorHAnsi" w:hAnsiTheme="minorHAnsi" w:cstheme="minorHAnsi"/>
          <w:bCs/>
          <w:sz w:val="22"/>
          <w:szCs w:val="22"/>
        </w:rPr>
        <w:t xml:space="preserve">: </w:t>
      </w:r>
      <w:r w:rsidRPr="004F0F6D">
        <w:rPr>
          <w:rFonts w:asciiTheme="minorHAnsi" w:hAnsiTheme="minorHAnsi" w:cstheme="minorHAnsi"/>
          <w:bCs/>
          <w:i/>
          <w:sz w:val="22"/>
          <w:szCs w:val="22"/>
        </w:rPr>
        <w:t>not added</w:t>
      </w:r>
    </w:p>
    <w:p w:rsidR="004F0F6D" w:rsidRDefault="004F0F6D" w:rsidP="00D368E3">
      <w:pPr>
        <w:pStyle w:val="ListParagraph"/>
        <w:autoSpaceDE w:val="0"/>
        <w:autoSpaceDN w:val="0"/>
        <w:adjustRightInd w:val="0"/>
        <w:ind w:left="0"/>
        <w:jc w:val="both"/>
        <w:rPr>
          <w:rFonts w:asciiTheme="minorHAnsi" w:hAnsiTheme="minorHAnsi" w:cstheme="minorHAnsi"/>
          <w:bCs/>
          <w:i/>
          <w:sz w:val="22"/>
          <w:szCs w:val="22"/>
        </w:rPr>
      </w:pPr>
    </w:p>
    <w:p w:rsidR="00BD047C" w:rsidRDefault="00BD047C" w:rsidP="00D368E3">
      <w:pPr>
        <w:pStyle w:val="ListParagraph"/>
        <w:autoSpaceDE w:val="0"/>
        <w:autoSpaceDN w:val="0"/>
        <w:adjustRightInd w:val="0"/>
        <w:ind w:left="0"/>
        <w:jc w:val="both"/>
        <w:rPr>
          <w:rFonts w:asciiTheme="minorHAnsi" w:hAnsiTheme="minorHAnsi" w:cstheme="minorHAnsi"/>
          <w:bCs/>
          <w:sz w:val="22"/>
          <w:szCs w:val="22"/>
        </w:rPr>
      </w:pPr>
      <w:r>
        <w:rPr>
          <w:rFonts w:asciiTheme="minorHAnsi" w:hAnsiTheme="minorHAnsi" w:cstheme="minorHAnsi"/>
          <w:bCs/>
          <w:i/>
          <w:sz w:val="22"/>
          <w:szCs w:val="22"/>
        </w:rPr>
        <w:t>Cochrane review</w:t>
      </w:r>
      <w:r>
        <w:rPr>
          <w:rStyle w:val="FootnoteReference"/>
          <w:rFonts w:asciiTheme="minorHAnsi" w:hAnsiTheme="minorHAnsi"/>
          <w:bCs/>
          <w:i/>
          <w:sz w:val="22"/>
          <w:szCs w:val="22"/>
        </w:rPr>
        <w:footnoteReference w:id="4"/>
      </w:r>
      <w:r>
        <w:rPr>
          <w:rFonts w:asciiTheme="minorHAnsi" w:hAnsiTheme="minorHAnsi" w:cstheme="minorHAnsi"/>
          <w:bCs/>
          <w:sz w:val="22"/>
          <w:szCs w:val="22"/>
        </w:rPr>
        <w:t>concluded that no</w:t>
      </w:r>
      <w:r w:rsidRPr="0078164A">
        <w:rPr>
          <w:rFonts w:asciiTheme="minorHAnsi" w:hAnsiTheme="minorHAnsi" w:cstheme="minorHAnsi"/>
          <w:bCs/>
          <w:sz w:val="22"/>
          <w:szCs w:val="22"/>
        </w:rPr>
        <w:t xml:space="preserve"> firm conclusion could be drawn about the effectiveness of </w:t>
      </w:r>
      <w:r>
        <w:rPr>
          <w:rFonts w:asciiTheme="minorHAnsi" w:hAnsiTheme="minorHAnsi" w:cstheme="minorHAnsi"/>
          <w:bCs/>
          <w:sz w:val="22"/>
          <w:szCs w:val="22"/>
        </w:rPr>
        <w:t xml:space="preserve">medicine </w:t>
      </w:r>
      <w:r w:rsidRPr="0078164A">
        <w:rPr>
          <w:rFonts w:asciiTheme="minorHAnsi" w:hAnsiTheme="minorHAnsi" w:cstheme="minorHAnsi"/>
          <w:bCs/>
          <w:sz w:val="22"/>
          <w:szCs w:val="22"/>
        </w:rPr>
        <w:t>therapy for anxiety in adult cancer patients receiving palliative care</w:t>
      </w:r>
      <w:r w:rsidR="004F0F6D">
        <w:rPr>
          <w:rFonts w:asciiTheme="minorHAnsi" w:hAnsiTheme="minorHAnsi" w:cstheme="minorHAnsi"/>
          <w:bCs/>
          <w:sz w:val="22"/>
          <w:szCs w:val="22"/>
        </w:rPr>
        <w:t>; and recommendation was added to the STG to offer referral for psychotherapy if available.</w:t>
      </w:r>
    </w:p>
    <w:p w:rsidR="00BD047C" w:rsidRDefault="00BD047C" w:rsidP="00D368E3">
      <w:pPr>
        <w:pStyle w:val="ListParagraph"/>
        <w:autoSpaceDE w:val="0"/>
        <w:autoSpaceDN w:val="0"/>
        <w:adjustRightInd w:val="0"/>
        <w:ind w:left="0"/>
        <w:jc w:val="both"/>
        <w:rPr>
          <w:rFonts w:asciiTheme="minorHAnsi" w:hAnsiTheme="minorHAnsi" w:cstheme="minorHAnsi"/>
          <w:bCs/>
          <w:sz w:val="22"/>
          <w:szCs w:val="22"/>
        </w:rPr>
      </w:pPr>
    </w:p>
    <w:p w:rsidR="00BD047C" w:rsidRDefault="004F0F6D" w:rsidP="00D368E3">
      <w:pPr>
        <w:pStyle w:val="ListParagraph"/>
        <w:autoSpaceDE w:val="0"/>
        <w:autoSpaceDN w:val="0"/>
        <w:adjustRightInd w:val="0"/>
        <w:ind w:left="0"/>
        <w:jc w:val="both"/>
        <w:rPr>
          <w:rFonts w:asciiTheme="minorHAnsi" w:hAnsiTheme="minorHAnsi" w:cstheme="minorHAnsi"/>
          <w:bCs/>
          <w:sz w:val="22"/>
          <w:szCs w:val="22"/>
        </w:rPr>
      </w:pPr>
      <w:r w:rsidRPr="004F0F6D">
        <w:rPr>
          <w:rFonts w:asciiTheme="minorHAnsi" w:hAnsiTheme="minorHAnsi" w:cstheme="minorHAnsi"/>
          <w:bCs/>
          <w:i/>
          <w:sz w:val="22"/>
          <w:szCs w:val="22"/>
        </w:rPr>
        <w:t>SSRIs:</w:t>
      </w:r>
      <w:r>
        <w:rPr>
          <w:rFonts w:asciiTheme="minorHAnsi" w:hAnsiTheme="minorHAnsi" w:cstheme="minorHAnsi"/>
          <w:bCs/>
          <w:sz w:val="22"/>
          <w:szCs w:val="22"/>
        </w:rPr>
        <w:t xml:space="preserve"> M</w:t>
      </w:r>
      <w:r w:rsidR="00BD047C">
        <w:rPr>
          <w:rFonts w:asciiTheme="minorHAnsi" w:hAnsiTheme="minorHAnsi" w:cstheme="minorHAnsi"/>
          <w:bCs/>
          <w:sz w:val="22"/>
          <w:szCs w:val="22"/>
        </w:rPr>
        <w:t>edicine management align</w:t>
      </w:r>
      <w:r>
        <w:rPr>
          <w:rFonts w:asciiTheme="minorHAnsi" w:hAnsiTheme="minorHAnsi" w:cstheme="minorHAnsi"/>
          <w:bCs/>
          <w:sz w:val="22"/>
          <w:szCs w:val="22"/>
        </w:rPr>
        <w:t>ed</w:t>
      </w:r>
      <w:r w:rsidR="00BD047C">
        <w:rPr>
          <w:rFonts w:asciiTheme="minorHAnsi" w:hAnsiTheme="minorHAnsi" w:cstheme="minorHAnsi"/>
          <w:bCs/>
          <w:sz w:val="22"/>
          <w:szCs w:val="22"/>
        </w:rPr>
        <w:t xml:space="preserve"> with </w:t>
      </w:r>
      <w:r>
        <w:rPr>
          <w:rFonts w:asciiTheme="minorHAnsi" w:hAnsiTheme="minorHAnsi" w:cstheme="minorHAnsi"/>
          <w:bCs/>
          <w:sz w:val="22"/>
          <w:szCs w:val="22"/>
        </w:rPr>
        <w:t xml:space="preserve">the </w:t>
      </w:r>
      <w:r w:rsidRPr="004F0F6D">
        <w:rPr>
          <w:rFonts w:asciiTheme="minorHAnsi" w:hAnsiTheme="minorHAnsi" w:cstheme="minorHAnsi"/>
          <w:bCs/>
          <w:sz w:val="22"/>
          <w:szCs w:val="22"/>
        </w:rPr>
        <w:t>PHC (2014) and Adult Hospital level (2015) mental health care chapters</w:t>
      </w:r>
      <w:r>
        <w:rPr>
          <w:rFonts w:asciiTheme="minorHAnsi" w:hAnsiTheme="minorHAnsi" w:cstheme="minorHAnsi"/>
          <w:bCs/>
          <w:sz w:val="22"/>
          <w:szCs w:val="22"/>
        </w:rPr>
        <w:t>, with referral of children to secondary level of care for management (and continued access to medicines via down referral).</w:t>
      </w:r>
    </w:p>
    <w:p w:rsidR="00BD047C" w:rsidRDefault="00BD047C" w:rsidP="00D368E3">
      <w:pPr>
        <w:pStyle w:val="ListParagraph"/>
        <w:autoSpaceDE w:val="0"/>
        <w:autoSpaceDN w:val="0"/>
        <w:adjustRightInd w:val="0"/>
        <w:ind w:left="0"/>
        <w:jc w:val="both"/>
        <w:rPr>
          <w:rFonts w:asciiTheme="minorHAnsi" w:hAnsiTheme="minorHAnsi" w:cstheme="minorHAnsi"/>
          <w:bCs/>
          <w:sz w:val="22"/>
          <w:szCs w:val="22"/>
        </w:rPr>
      </w:pPr>
    </w:p>
    <w:p w:rsidR="00BD047C" w:rsidRPr="00F74046" w:rsidRDefault="00BD047C" w:rsidP="00D368E3">
      <w:pPr>
        <w:autoSpaceDE w:val="0"/>
        <w:autoSpaceDN w:val="0"/>
        <w:adjustRightInd w:val="0"/>
        <w:spacing w:after="0" w:line="240" w:lineRule="auto"/>
        <w:jc w:val="both"/>
        <w:rPr>
          <w:rFonts w:cstheme="minorHAnsi"/>
          <w:bCs/>
          <w:color w:val="000000"/>
        </w:rPr>
      </w:pPr>
      <w:r w:rsidRPr="00F74046">
        <w:rPr>
          <w:rFonts w:cstheme="minorHAnsi"/>
          <w:bCs/>
          <w:i/>
          <w:color w:val="000000"/>
        </w:rPr>
        <w:t>Benzodiazepines:</w:t>
      </w:r>
      <w:r w:rsidR="004F0F6D">
        <w:rPr>
          <w:rFonts w:cstheme="minorHAnsi"/>
          <w:bCs/>
        </w:rPr>
        <w:t xml:space="preserve">Medicine management aligned with the </w:t>
      </w:r>
      <w:r w:rsidR="004F0F6D" w:rsidRPr="004F0F6D">
        <w:rPr>
          <w:rFonts w:cstheme="minorHAnsi"/>
          <w:bCs/>
        </w:rPr>
        <w:t>PHC (2014) and Adult Hospital level (2015) mental health care chapters</w:t>
      </w:r>
      <w:r w:rsidR="004F0F6D">
        <w:rPr>
          <w:rFonts w:cstheme="minorHAnsi"/>
          <w:bCs/>
        </w:rPr>
        <w:t xml:space="preserve">, with referral of children to secondary level of care for management (and continued access to medicines via down referral); </w:t>
      </w:r>
      <w:r w:rsidRPr="00F74046">
        <w:rPr>
          <w:rFonts w:cstheme="minorHAnsi"/>
          <w:bCs/>
          <w:color w:val="000000"/>
        </w:rPr>
        <w:t>noting that diazepam is available as a 5 mg tablet:</w:t>
      </w:r>
    </w:p>
    <w:p w:rsidR="00BD047C" w:rsidRDefault="00BD047C" w:rsidP="00D368E3">
      <w:pPr>
        <w:autoSpaceDE w:val="0"/>
        <w:autoSpaceDN w:val="0"/>
        <w:adjustRightInd w:val="0"/>
        <w:spacing w:after="0" w:line="240" w:lineRule="auto"/>
        <w:jc w:val="both"/>
        <w:rPr>
          <w:rFonts w:cstheme="minorHAnsi"/>
          <w:bCs/>
          <w:color w:val="000000"/>
        </w:rPr>
      </w:pPr>
    </w:p>
    <w:p w:rsidR="004F0F6D" w:rsidRPr="00F74046" w:rsidRDefault="004F0F6D" w:rsidP="00D368E3">
      <w:pPr>
        <w:autoSpaceDE w:val="0"/>
        <w:autoSpaceDN w:val="0"/>
        <w:adjustRightInd w:val="0"/>
        <w:spacing w:after="0" w:line="240" w:lineRule="auto"/>
        <w:jc w:val="both"/>
        <w:rPr>
          <w:rFonts w:cstheme="minorHAnsi"/>
          <w:bCs/>
          <w:color w:val="000000"/>
        </w:rPr>
      </w:pPr>
      <w:r w:rsidRPr="004F0F6D">
        <w:rPr>
          <w:rFonts w:cstheme="minorHAnsi"/>
          <w:bCs/>
          <w:i/>
          <w:color w:val="000000"/>
        </w:rPr>
        <w:t>Lorazepam, sublingual; clonidine:</w:t>
      </w:r>
      <w:r>
        <w:rPr>
          <w:rFonts w:cstheme="minorHAnsi"/>
          <w:bCs/>
          <w:color w:val="000000"/>
        </w:rPr>
        <w:t xml:space="preserve"> Motivation for these medicines for palliation in children were not considered as all children are referred </w:t>
      </w:r>
      <w:r>
        <w:rPr>
          <w:rFonts w:cstheme="minorHAnsi"/>
          <w:bCs/>
        </w:rPr>
        <w:t xml:space="preserve">to secondary level of care for management (with continued access to medicines via down referral); until the service delivery platform for palliative care has been developed and implemented. </w:t>
      </w:r>
    </w:p>
    <w:p w:rsidR="00BD047C" w:rsidRDefault="00BD047C" w:rsidP="00D368E3">
      <w:pPr>
        <w:autoSpaceDE w:val="0"/>
        <w:autoSpaceDN w:val="0"/>
        <w:adjustRightInd w:val="0"/>
        <w:spacing w:after="0" w:line="240" w:lineRule="auto"/>
        <w:jc w:val="both"/>
        <w:rPr>
          <w:rFonts w:cstheme="minorHAnsi"/>
          <w:bCs/>
          <w:color w:val="000000"/>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3A181D" w:rsidRPr="00554428" w:rsidTr="003314AF">
        <w:tc>
          <w:tcPr>
            <w:tcW w:w="9242" w:type="dxa"/>
            <w:tcBorders>
              <w:top w:val="double" w:sz="4" w:space="0" w:color="C0C0C0"/>
              <w:left w:val="double" w:sz="4" w:space="0" w:color="C0C0C0"/>
              <w:bottom w:val="double" w:sz="4" w:space="0" w:color="C0C0C0"/>
              <w:right w:val="double" w:sz="4" w:space="0" w:color="C0C0C0"/>
            </w:tcBorders>
          </w:tcPr>
          <w:p w:rsidR="003A181D" w:rsidRPr="004717B0" w:rsidRDefault="003A181D" w:rsidP="00D368E3">
            <w:pPr>
              <w:widowControl w:val="0"/>
              <w:autoSpaceDE w:val="0"/>
              <w:autoSpaceDN w:val="0"/>
              <w:adjustRightInd w:val="0"/>
              <w:spacing w:before="120" w:after="120" w:line="240" w:lineRule="auto"/>
              <w:rPr>
                <w:rFonts w:cstheme="minorHAnsi"/>
                <w:b/>
              </w:rPr>
            </w:pPr>
            <w:r>
              <w:rPr>
                <w:rFonts w:cstheme="minorHAnsi"/>
                <w:b/>
              </w:rPr>
              <w:t>22.2.2DEL</w:t>
            </w:r>
            <w:r w:rsidR="007B17D1">
              <w:rPr>
                <w:rFonts w:cstheme="minorHAnsi"/>
                <w:b/>
              </w:rPr>
              <w:t>I</w:t>
            </w:r>
            <w:r>
              <w:rPr>
                <w:rFonts w:cstheme="minorHAnsi"/>
                <w:b/>
              </w:rPr>
              <w:t>RIUM</w:t>
            </w:r>
          </w:p>
        </w:tc>
      </w:tr>
    </w:tbl>
    <w:p w:rsidR="003A181D" w:rsidRDefault="008E574E" w:rsidP="00D368E3">
      <w:pPr>
        <w:autoSpaceDE w:val="0"/>
        <w:autoSpaceDN w:val="0"/>
        <w:adjustRightInd w:val="0"/>
        <w:spacing w:after="0" w:line="240" w:lineRule="auto"/>
        <w:jc w:val="both"/>
        <w:rPr>
          <w:rFonts w:cstheme="minorHAnsi"/>
          <w:bCs/>
          <w:color w:val="000000"/>
        </w:rPr>
      </w:pPr>
      <w:r w:rsidRPr="008E574E">
        <w:rPr>
          <w:rFonts w:cstheme="minorHAnsi"/>
          <w:bCs/>
          <w:color w:val="000000"/>
          <w:u w:val="single"/>
        </w:rPr>
        <w:t>Haloperidol, IM</w:t>
      </w:r>
      <w:r>
        <w:rPr>
          <w:rFonts w:cstheme="minorHAnsi"/>
          <w:bCs/>
          <w:color w:val="000000"/>
        </w:rPr>
        <w:t xml:space="preserve">: </w:t>
      </w:r>
      <w:r w:rsidRPr="008E574E">
        <w:rPr>
          <w:rFonts w:cstheme="minorHAnsi"/>
          <w:bCs/>
          <w:i/>
          <w:color w:val="000000"/>
        </w:rPr>
        <w:t>not added</w:t>
      </w:r>
    </w:p>
    <w:p w:rsidR="008E574E" w:rsidRDefault="008E574E" w:rsidP="00D368E3">
      <w:pPr>
        <w:autoSpaceDE w:val="0"/>
        <w:autoSpaceDN w:val="0"/>
        <w:adjustRightInd w:val="0"/>
        <w:spacing w:after="0" w:line="240" w:lineRule="auto"/>
        <w:jc w:val="both"/>
        <w:rPr>
          <w:rFonts w:cstheme="minorHAnsi"/>
          <w:bCs/>
          <w:color w:val="000000"/>
        </w:rPr>
      </w:pPr>
      <w:r w:rsidRPr="008E574E">
        <w:rPr>
          <w:rFonts w:cstheme="minorHAnsi"/>
          <w:bCs/>
          <w:color w:val="000000"/>
          <w:u w:val="single"/>
        </w:rPr>
        <w:t>Midazolam, IM</w:t>
      </w:r>
      <w:r>
        <w:rPr>
          <w:rFonts w:cstheme="minorHAnsi"/>
          <w:bCs/>
          <w:color w:val="000000"/>
        </w:rPr>
        <w:t xml:space="preserve">: </w:t>
      </w:r>
      <w:r w:rsidRPr="008E574E">
        <w:rPr>
          <w:rFonts w:cstheme="minorHAnsi"/>
          <w:bCs/>
          <w:i/>
          <w:color w:val="000000"/>
        </w:rPr>
        <w:t>added</w:t>
      </w:r>
    </w:p>
    <w:p w:rsidR="008E574E" w:rsidRDefault="008E574E" w:rsidP="00D368E3">
      <w:pPr>
        <w:autoSpaceDE w:val="0"/>
        <w:autoSpaceDN w:val="0"/>
        <w:adjustRightInd w:val="0"/>
        <w:spacing w:after="0" w:line="240" w:lineRule="auto"/>
        <w:jc w:val="both"/>
        <w:rPr>
          <w:rFonts w:cstheme="minorHAnsi"/>
          <w:bCs/>
          <w:color w:val="000000"/>
        </w:rPr>
      </w:pPr>
      <w:r w:rsidRPr="008E574E">
        <w:rPr>
          <w:rFonts w:cstheme="minorHAnsi"/>
          <w:bCs/>
          <w:color w:val="000000"/>
          <w:u w:val="single"/>
        </w:rPr>
        <w:lastRenderedPageBreak/>
        <w:t>Diazepam, IV:</w:t>
      </w:r>
      <w:r w:rsidRPr="008E574E">
        <w:rPr>
          <w:rFonts w:cstheme="minorHAnsi"/>
          <w:bCs/>
          <w:i/>
          <w:color w:val="000000"/>
        </w:rPr>
        <w:t>added</w:t>
      </w:r>
    </w:p>
    <w:p w:rsidR="008E574E" w:rsidRPr="00F74046" w:rsidRDefault="008E574E" w:rsidP="00D368E3">
      <w:pPr>
        <w:autoSpaceDE w:val="0"/>
        <w:autoSpaceDN w:val="0"/>
        <w:adjustRightInd w:val="0"/>
        <w:spacing w:after="0" w:line="240" w:lineRule="auto"/>
        <w:jc w:val="both"/>
        <w:rPr>
          <w:rFonts w:cstheme="minorHAnsi"/>
          <w:bCs/>
          <w:color w:val="000000"/>
        </w:rPr>
      </w:pPr>
    </w:p>
    <w:p w:rsidR="008E574E" w:rsidRDefault="008E574E" w:rsidP="00D368E3">
      <w:pPr>
        <w:pStyle w:val="ListParagraph"/>
        <w:autoSpaceDE w:val="0"/>
        <w:autoSpaceDN w:val="0"/>
        <w:adjustRightInd w:val="0"/>
        <w:ind w:left="0"/>
        <w:jc w:val="both"/>
        <w:rPr>
          <w:rFonts w:asciiTheme="minorHAnsi" w:hAnsiTheme="minorHAnsi" w:cstheme="minorHAnsi"/>
          <w:bCs/>
          <w:sz w:val="22"/>
          <w:szCs w:val="22"/>
        </w:rPr>
      </w:pPr>
      <w:r w:rsidRPr="008E574E">
        <w:rPr>
          <w:rFonts w:asciiTheme="minorHAnsi" w:hAnsiTheme="minorHAnsi" w:cstheme="minorHAnsi"/>
          <w:bCs/>
          <w:i/>
          <w:sz w:val="22"/>
          <w:szCs w:val="22"/>
        </w:rPr>
        <w:t>Cochrane review</w:t>
      </w:r>
      <w:r w:rsidR="00877A43">
        <w:rPr>
          <w:rStyle w:val="FootnoteReference"/>
          <w:rFonts w:asciiTheme="minorHAnsi" w:hAnsiTheme="minorHAnsi"/>
          <w:bCs/>
          <w:i/>
          <w:sz w:val="22"/>
          <w:szCs w:val="22"/>
        </w:rPr>
        <w:footnoteReference w:id="5"/>
      </w:r>
      <w:r>
        <w:rPr>
          <w:rFonts w:asciiTheme="minorHAnsi" w:hAnsiTheme="minorHAnsi" w:cstheme="minorHAnsi"/>
          <w:bCs/>
          <w:sz w:val="22"/>
          <w:szCs w:val="22"/>
        </w:rPr>
        <w:t xml:space="preserve"> concluded that there is insufficient evidence </w:t>
      </w:r>
      <w:r w:rsidRPr="00253C2D">
        <w:rPr>
          <w:rFonts w:asciiTheme="minorHAnsi" w:hAnsiTheme="minorHAnsi" w:cstheme="minorHAnsi"/>
          <w:bCs/>
          <w:sz w:val="22"/>
          <w:szCs w:val="22"/>
        </w:rPr>
        <w:t xml:space="preserve">to </w:t>
      </w:r>
      <w:r>
        <w:rPr>
          <w:rFonts w:asciiTheme="minorHAnsi" w:hAnsiTheme="minorHAnsi" w:cstheme="minorHAnsi"/>
          <w:bCs/>
          <w:sz w:val="22"/>
          <w:szCs w:val="22"/>
        </w:rPr>
        <w:t>determine</w:t>
      </w:r>
      <w:r w:rsidRPr="00253C2D">
        <w:rPr>
          <w:rFonts w:asciiTheme="minorHAnsi" w:hAnsiTheme="minorHAnsi" w:cstheme="minorHAnsi"/>
          <w:bCs/>
          <w:sz w:val="22"/>
          <w:szCs w:val="22"/>
        </w:rPr>
        <w:t xml:space="preserve"> the role of </w:t>
      </w:r>
      <w:r>
        <w:rPr>
          <w:rFonts w:asciiTheme="minorHAnsi" w:hAnsiTheme="minorHAnsi" w:cstheme="minorHAnsi"/>
          <w:bCs/>
          <w:sz w:val="22"/>
          <w:szCs w:val="22"/>
        </w:rPr>
        <w:t>medicine treatment for</w:t>
      </w:r>
      <w:r w:rsidRPr="00253C2D">
        <w:rPr>
          <w:rFonts w:asciiTheme="minorHAnsi" w:hAnsiTheme="minorHAnsi" w:cstheme="minorHAnsi"/>
          <w:bCs/>
          <w:sz w:val="22"/>
          <w:szCs w:val="22"/>
        </w:rPr>
        <w:t xml:space="preserve"> delirium in terminally illpatients</w:t>
      </w:r>
      <w:r>
        <w:rPr>
          <w:rFonts w:asciiTheme="minorHAnsi" w:hAnsiTheme="minorHAnsi" w:cstheme="minorHAnsi"/>
          <w:bCs/>
          <w:sz w:val="22"/>
          <w:szCs w:val="22"/>
        </w:rPr>
        <w:t>.</w:t>
      </w:r>
    </w:p>
    <w:p w:rsidR="008E574E" w:rsidRDefault="008E574E" w:rsidP="00D368E3">
      <w:pPr>
        <w:pStyle w:val="ListParagraph"/>
        <w:autoSpaceDE w:val="0"/>
        <w:autoSpaceDN w:val="0"/>
        <w:adjustRightInd w:val="0"/>
        <w:ind w:left="0"/>
        <w:jc w:val="both"/>
        <w:rPr>
          <w:rFonts w:asciiTheme="minorHAnsi" w:hAnsiTheme="minorHAnsi" w:cstheme="minorHAnsi"/>
          <w:bCs/>
          <w:sz w:val="22"/>
          <w:szCs w:val="22"/>
        </w:rPr>
      </w:pPr>
    </w:p>
    <w:p w:rsidR="003A181D" w:rsidRDefault="003A181D" w:rsidP="00D368E3">
      <w:pPr>
        <w:pStyle w:val="ListParagraph"/>
        <w:autoSpaceDE w:val="0"/>
        <w:autoSpaceDN w:val="0"/>
        <w:adjustRightInd w:val="0"/>
        <w:ind w:left="0"/>
        <w:jc w:val="both"/>
        <w:rPr>
          <w:rFonts w:asciiTheme="minorHAnsi" w:hAnsiTheme="minorHAnsi" w:cstheme="minorHAnsi"/>
          <w:bCs/>
          <w:sz w:val="22"/>
          <w:szCs w:val="22"/>
        </w:rPr>
      </w:pPr>
      <w:r w:rsidRPr="004507C5">
        <w:rPr>
          <w:rFonts w:asciiTheme="minorHAnsi" w:hAnsiTheme="minorHAnsi" w:cstheme="minorHAnsi"/>
          <w:bCs/>
          <w:i/>
          <w:sz w:val="22"/>
          <w:szCs w:val="22"/>
        </w:rPr>
        <w:t>Haloperidol</w:t>
      </w:r>
      <w:r w:rsidRPr="004507C5">
        <w:rPr>
          <w:rFonts w:asciiTheme="minorHAnsi" w:hAnsiTheme="minorHAnsi" w:cstheme="minorHAnsi"/>
          <w:bCs/>
          <w:sz w:val="22"/>
          <w:szCs w:val="22"/>
        </w:rPr>
        <w:t xml:space="preserve"> is generally recommended as first line treatment in guidelines</w:t>
      </w:r>
      <w:r w:rsidRPr="004507C5">
        <w:rPr>
          <w:rStyle w:val="FootnoteReference"/>
          <w:rFonts w:asciiTheme="minorHAnsi" w:hAnsiTheme="minorHAnsi" w:cstheme="minorHAnsi"/>
          <w:bCs/>
          <w:sz w:val="22"/>
          <w:szCs w:val="22"/>
        </w:rPr>
        <w:footnoteReference w:id="6"/>
      </w:r>
      <w:r w:rsidRPr="004507C5">
        <w:rPr>
          <w:rFonts w:asciiTheme="minorHAnsi" w:hAnsiTheme="minorHAnsi" w:cstheme="minorHAnsi"/>
          <w:bCs/>
          <w:sz w:val="22"/>
          <w:szCs w:val="22"/>
        </w:rPr>
        <w:t xml:space="preserve">. </w:t>
      </w:r>
      <w:r w:rsidR="008E574E">
        <w:rPr>
          <w:rFonts w:asciiTheme="minorHAnsi" w:hAnsiTheme="minorHAnsi" w:cstheme="minorHAnsi"/>
          <w:bCs/>
          <w:sz w:val="22"/>
          <w:szCs w:val="22"/>
        </w:rPr>
        <w:t>There is v</w:t>
      </w:r>
      <w:r w:rsidRPr="004507C5">
        <w:rPr>
          <w:rFonts w:asciiTheme="minorHAnsi" w:hAnsiTheme="minorHAnsi" w:cstheme="minorHAnsi"/>
          <w:bCs/>
          <w:sz w:val="22"/>
          <w:szCs w:val="22"/>
        </w:rPr>
        <w:t>ery limited evidence for efficacy, but there is risk of harm (i.e. increased agitation)</w:t>
      </w:r>
      <w:r w:rsidRPr="004507C5">
        <w:rPr>
          <w:rStyle w:val="FootnoteReference"/>
          <w:rFonts w:asciiTheme="minorHAnsi" w:hAnsiTheme="minorHAnsi" w:cstheme="minorHAnsi"/>
          <w:bCs/>
          <w:sz w:val="22"/>
          <w:szCs w:val="22"/>
        </w:rPr>
        <w:footnoteReference w:id="7"/>
      </w:r>
      <w:r w:rsidRPr="004507C5">
        <w:rPr>
          <w:rFonts w:asciiTheme="minorHAnsi" w:hAnsiTheme="minorHAnsi" w:cstheme="minorHAnsi"/>
          <w:bCs/>
          <w:sz w:val="22"/>
          <w:szCs w:val="22"/>
        </w:rPr>
        <w:t xml:space="preserve">. </w:t>
      </w:r>
      <w:r w:rsidR="008E574E">
        <w:rPr>
          <w:rFonts w:asciiTheme="minorHAnsi" w:hAnsiTheme="minorHAnsi" w:cstheme="minorHAnsi"/>
          <w:bCs/>
          <w:sz w:val="22"/>
          <w:szCs w:val="22"/>
        </w:rPr>
        <w:t>A r</w:t>
      </w:r>
      <w:r w:rsidRPr="004507C5">
        <w:rPr>
          <w:rFonts w:asciiTheme="minorHAnsi" w:hAnsiTheme="minorHAnsi" w:cstheme="minorHAnsi"/>
          <w:bCs/>
          <w:sz w:val="22"/>
          <w:szCs w:val="22"/>
        </w:rPr>
        <w:t>ecent study (n=249) showed that placebo improved symptoms significantly more than haloperidol</w:t>
      </w:r>
      <w:r w:rsidRPr="004507C5">
        <w:rPr>
          <w:rStyle w:val="FootnoteReference"/>
          <w:rFonts w:asciiTheme="minorHAnsi" w:hAnsiTheme="minorHAnsi" w:cstheme="minorHAnsi"/>
          <w:bCs/>
          <w:sz w:val="22"/>
          <w:szCs w:val="22"/>
        </w:rPr>
        <w:footnoteReference w:id="8"/>
      </w:r>
      <w:r w:rsidR="008E574E">
        <w:rPr>
          <w:rFonts w:asciiTheme="minorHAnsi" w:hAnsiTheme="minorHAnsi" w:cstheme="minorHAnsi"/>
          <w:bCs/>
          <w:sz w:val="22"/>
          <w:szCs w:val="22"/>
        </w:rPr>
        <w:t xml:space="preserve"> and </w:t>
      </w:r>
      <w:r w:rsidRPr="004507C5">
        <w:rPr>
          <w:rFonts w:asciiTheme="minorHAnsi" w:hAnsiTheme="minorHAnsi" w:cstheme="minorHAnsi"/>
          <w:bCs/>
          <w:sz w:val="22"/>
          <w:szCs w:val="22"/>
        </w:rPr>
        <w:t xml:space="preserve">authors suggested that eliminating precipitants and supportive measures are more important than treatment with antipsychotics. </w:t>
      </w:r>
      <w:r w:rsidR="008E574E">
        <w:rPr>
          <w:rFonts w:asciiTheme="minorHAnsi" w:hAnsiTheme="minorHAnsi" w:cstheme="minorHAnsi"/>
          <w:bCs/>
          <w:sz w:val="22"/>
          <w:szCs w:val="22"/>
        </w:rPr>
        <w:t xml:space="preserve">A </w:t>
      </w:r>
      <w:r w:rsidRPr="004507C5">
        <w:rPr>
          <w:rFonts w:asciiTheme="minorHAnsi" w:hAnsiTheme="minorHAnsi" w:cstheme="minorHAnsi"/>
          <w:bCs/>
          <w:sz w:val="22"/>
          <w:szCs w:val="22"/>
        </w:rPr>
        <w:t>systematic review</w:t>
      </w:r>
      <w:r w:rsidRPr="004507C5">
        <w:rPr>
          <w:rStyle w:val="FootnoteReference"/>
          <w:rFonts w:asciiTheme="minorHAnsi" w:hAnsiTheme="minorHAnsi" w:cstheme="minorHAnsi"/>
          <w:bCs/>
          <w:sz w:val="22"/>
          <w:szCs w:val="22"/>
        </w:rPr>
        <w:footnoteReference w:id="9"/>
      </w:r>
      <w:r w:rsidRPr="004507C5">
        <w:rPr>
          <w:rFonts w:asciiTheme="minorHAnsi" w:hAnsiTheme="minorHAnsi" w:cstheme="minorHAnsi"/>
          <w:bCs/>
          <w:sz w:val="22"/>
          <w:szCs w:val="22"/>
        </w:rPr>
        <w:t xml:space="preserve"> showed that antipsychotics (haloperidol and risperidone) had no significant effect on delirium incidence amongst geriatric patients, post-operatively, vs. placebo, with high heterogeneity of studies (OR 0.56; 95% CI 0</w:t>
      </w:r>
      <w:r w:rsidR="007B17D1">
        <w:rPr>
          <w:rFonts w:asciiTheme="minorHAnsi" w:hAnsiTheme="minorHAnsi" w:cstheme="minorHAnsi"/>
          <w:bCs/>
          <w:sz w:val="22"/>
          <w:szCs w:val="22"/>
        </w:rPr>
        <w:t>.</w:t>
      </w:r>
      <w:r w:rsidRPr="004507C5">
        <w:rPr>
          <w:rFonts w:asciiTheme="minorHAnsi" w:hAnsiTheme="minorHAnsi" w:cstheme="minorHAnsi"/>
          <w:bCs/>
          <w:sz w:val="22"/>
          <w:szCs w:val="22"/>
        </w:rPr>
        <w:t>23 to 1.29; I</w:t>
      </w:r>
      <w:r w:rsidRPr="004507C5">
        <w:rPr>
          <w:rFonts w:asciiTheme="minorHAnsi" w:hAnsiTheme="minorHAnsi" w:cstheme="minorHAnsi"/>
          <w:bCs/>
          <w:sz w:val="22"/>
          <w:szCs w:val="22"/>
          <w:vertAlign w:val="superscript"/>
        </w:rPr>
        <w:t>2</w:t>
      </w:r>
      <w:r w:rsidRPr="004507C5">
        <w:rPr>
          <w:rFonts w:asciiTheme="minorHAnsi" w:hAnsiTheme="minorHAnsi" w:cstheme="minorHAnsi"/>
          <w:bCs/>
          <w:sz w:val="22"/>
          <w:szCs w:val="22"/>
        </w:rPr>
        <w:t xml:space="preserve">=93%). </w:t>
      </w:r>
    </w:p>
    <w:p w:rsidR="008E574E" w:rsidRPr="004507C5" w:rsidRDefault="008E574E" w:rsidP="00D368E3">
      <w:pPr>
        <w:pStyle w:val="ListParagraph"/>
        <w:autoSpaceDE w:val="0"/>
        <w:autoSpaceDN w:val="0"/>
        <w:adjustRightInd w:val="0"/>
        <w:ind w:left="0"/>
        <w:jc w:val="both"/>
        <w:rPr>
          <w:rFonts w:asciiTheme="minorHAnsi" w:hAnsiTheme="minorHAnsi" w:cstheme="minorHAnsi"/>
          <w:b/>
          <w:bCs/>
          <w:sz w:val="22"/>
          <w:szCs w:val="22"/>
        </w:rPr>
      </w:pPr>
      <w:r w:rsidRPr="004507C5">
        <w:rPr>
          <w:rFonts w:asciiTheme="minorHAnsi" w:hAnsiTheme="minorHAnsi" w:cstheme="minorHAnsi"/>
          <w:b/>
          <w:bCs/>
          <w:sz w:val="22"/>
          <w:szCs w:val="22"/>
        </w:rPr>
        <w:t>Recommendations:</w:t>
      </w:r>
    </w:p>
    <w:p w:rsidR="00877A43" w:rsidRPr="00877A43" w:rsidRDefault="008E574E" w:rsidP="00D368E3">
      <w:pPr>
        <w:pStyle w:val="ListParagraph"/>
        <w:numPr>
          <w:ilvl w:val="0"/>
          <w:numId w:val="29"/>
        </w:numPr>
        <w:tabs>
          <w:tab w:val="left" w:pos="426"/>
        </w:tabs>
        <w:autoSpaceDE w:val="0"/>
        <w:autoSpaceDN w:val="0"/>
        <w:adjustRightInd w:val="0"/>
        <w:jc w:val="both"/>
        <w:rPr>
          <w:rFonts w:asciiTheme="minorHAnsi" w:hAnsiTheme="minorHAnsi" w:cstheme="minorHAnsi"/>
          <w:bCs/>
          <w:sz w:val="22"/>
        </w:rPr>
      </w:pPr>
      <w:r w:rsidRPr="00877A43">
        <w:rPr>
          <w:rFonts w:asciiTheme="minorHAnsi" w:hAnsiTheme="minorHAnsi" w:cstheme="minorHAnsi"/>
          <w:bCs/>
          <w:sz w:val="22"/>
        </w:rPr>
        <w:t xml:space="preserve">Antipsychotics not be recommended for delirium in palliative care. Management to include interventions that are patient-centred and low risk such as frequent reorientation, etc. </w:t>
      </w:r>
    </w:p>
    <w:p w:rsidR="00877A43" w:rsidRDefault="008E574E" w:rsidP="00D368E3">
      <w:pPr>
        <w:pStyle w:val="ListParagraph"/>
        <w:numPr>
          <w:ilvl w:val="0"/>
          <w:numId w:val="29"/>
        </w:numPr>
        <w:tabs>
          <w:tab w:val="left" w:pos="426"/>
        </w:tabs>
        <w:autoSpaceDE w:val="0"/>
        <w:autoSpaceDN w:val="0"/>
        <w:adjustRightInd w:val="0"/>
        <w:jc w:val="both"/>
        <w:rPr>
          <w:rFonts w:asciiTheme="minorHAnsi" w:hAnsiTheme="minorHAnsi" w:cstheme="minorHAnsi"/>
          <w:bCs/>
          <w:sz w:val="22"/>
        </w:rPr>
      </w:pPr>
      <w:r w:rsidRPr="00877A43">
        <w:rPr>
          <w:rFonts w:asciiTheme="minorHAnsi" w:hAnsiTheme="minorHAnsi" w:cstheme="minorHAnsi"/>
          <w:bCs/>
          <w:sz w:val="22"/>
        </w:rPr>
        <w:t>Benzodiazepines, short-course, be recommended for patients who are acutely distressed.</w:t>
      </w:r>
    </w:p>
    <w:p w:rsidR="00877A43" w:rsidRDefault="008E574E" w:rsidP="00D368E3">
      <w:pPr>
        <w:tabs>
          <w:tab w:val="left" w:pos="426"/>
        </w:tabs>
        <w:autoSpaceDE w:val="0"/>
        <w:autoSpaceDN w:val="0"/>
        <w:adjustRightInd w:val="0"/>
        <w:spacing w:after="0" w:line="240" w:lineRule="auto"/>
        <w:jc w:val="both"/>
        <w:rPr>
          <w:rFonts w:cstheme="minorHAnsi"/>
          <w:bCs/>
        </w:rPr>
      </w:pPr>
      <w:r w:rsidRPr="00877A43">
        <w:rPr>
          <w:rFonts w:cstheme="minorHAnsi"/>
          <w:bCs/>
          <w:i/>
        </w:rPr>
        <w:t xml:space="preserve">Rationale: </w:t>
      </w:r>
      <w:r w:rsidRPr="00877A43">
        <w:rPr>
          <w:rFonts w:cstheme="minorHAnsi"/>
          <w:bCs/>
        </w:rPr>
        <w:t>Evidence shows that placebo improved delirium symptoms more than antipsychotics (risperidone, haloperidol) and increased the use of rescue midazolam amongst palliative care patients.</w:t>
      </w:r>
    </w:p>
    <w:p w:rsidR="00877A43" w:rsidRDefault="00877A43" w:rsidP="00D368E3">
      <w:pPr>
        <w:tabs>
          <w:tab w:val="left" w:pos="426"/>
        </w:tabs>
        <w:autoSpaceDE w:val="0"/>
        <w:autoSpaceDN w:val="0"/>
        <w:adjustRightInd w:val="0"/>
        <w:spacing w:after="0" w:line="240" w:lineRule="auto"/>
        <w:jc w:val="both"/>
        <w:rPr>
          <w:rFonts w:cstheme="minorHAnsi"/>
          <w:bCs/>
          <w:i/>
        </w:rPr>
      </w:pPr>
    </w:p>
    <w:p w:rsidR="00877A43" w:rsidRDefault="008E574E" w:rsidP="00D368E3">
      <w:pPr>
        <w:tabs>
          <w:tab w:val="left" w:pos="426"/>
        </w:tabs>
        <w:autoSpaceDE w:val="0"/>
        <w:autoSpaceDN w:val="0"/>
        <w:adjustRightInd w:val="0"/>
        <w:spacing w:after="0" w:line="240" w:lineRule="auto"/>
        <w:jc w:val="both"/>
        <w:rPr>
          <w:rFonts w:cstheme="minorHAnsi"/>
          <w:b/>
          <w:bCs/>
        </w:rPr>
      </w:pPr>
      <w:r w:rsidRPr="008E574E">
        <w:rPr>
          <w:rFonts w:cstheme="minorHAnsi"/>
          <w:bCs/>
          <w:i/>
        </w:rPr>
        <w:t>Antipsychotics:</w:t>
      </w:r>
      <w:r w:rsidRPr="004507C5">
        <w:rPr>
          <w:rFonts w:cstheme="minorHAnsi"/>
          <w:b/>
          <w:bCs/>
        </w:rPr>
        <w:t>Level of Evidence: I Systematic review, RCT</w:t>
      </w:r>
    </w:p>
    <w:p w:rsidR="008E574E" w:rsidRPr="00877A43" w:rsidRDefault="008E574E" w:rsidP="00D368E3">
      <w:pPr>
        <w:tabs>
          <w:tab w:val="left" w:pos="426"/>
        </w:tabs>
        <w:autoSpaceDE w:val="0"/>
        <w:autoSpaceDN w:val="0"/>
        <w:adjustRightInd w:val="0"/>
        <w:spacing w:after="0" w:line="240" w:lineRule="auto"/>
        <w:jc w:val="both"/>
        <w:rPr>
          <w:rFonts w:cstheme="minorHAnsi"/>
          <w:bCs/>
          <w:szCs w:val="24"/>
        </w:rPr>
      </w:pPr>
      <w:r w:rsidRPr="008E574E">
        <w:rPr>
          <w:rFonts w:cstheme="minorHAnsi"/>
          <w:bCs/>
          <w:i/>
        </w:rPr>
        <w:t>Benzodiazepines:</w:t>
      </w:r>
      <w:r w:rsidRPr="004507C5">
        <w:rPr>
          <w:rFonts w:cstheme="minorHAnsi"/>
          <w:b/>
          <w:bCs/>
        </w:rPr>
        <w:t>Level of Evidence: III Standard of care</w:t>
      </w:r>
      <w:r w:rsidRPr="004507C5">
        <w:rPr>
          <w:rStyle w:val="FootnoteReference"/>
          <w:rFonts w:cstheme="minorHAnsi"/>
          <w:b/>
          <w:bCs/>
        </w:rPr>
        <w:footnoteReference w:id="10"/>
      </w:r>
      <w:r w:rsidRPr="004507C5">
        <w:rPr>
          <w:rFonts w:cstheme="minorHAnsi"/>
          <w:b/>
          <w:bCs/>
        </w:rPr>
        <w:t>, Expert opinion.</w:t>
      </w:r>
    </w:p>
    <w:p w:rsidR="003A181D" w:rsidRDefault="003A181D" w:rsidP="00D368E3">
      <w:pPr>
        <w:pStyle w:val="ListParagraph"/>
        <w:autoSpaceDE w:val="0"/>
        <w:autoSpaceDN w:val="0"/>
        <w:adjustRightInd w:val="0"/>
        <w:ind w:left="0"/>
        <w:jc w:val="both"/>
        <w:rPr>
          <w:rFonts w:asciiTheme="minorHAnsi" w:hAnsiTheme="minorHAnsi" w:cstheme="minorHAnsi"/>
          <w:b/>
          <w:bCs/>
          <w:sz w:val="22"/>
          <w:szCs w:val="22"/>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3A181D" w:rsidRPr="00554428" w:rsidTr="003314AF">
        <w:tc>
          <w:tcPr>
            <w:tcW w:w="9242" w:type="dxa"/>
            <w:tcBorders>
              <w:top w:val="double" w:sz="4" w:space="0" w:color="C0C0C0"/>
              <w:left w:val="double" w:sz="4" w:space="0" w:color="C0C0C0"/>
              <w:bottom w:val="double" w:sz="4" w:space="0" w:color="C0C0C0"/>
              <w:right w:val="double" w:sz="4" w:space="0" w:color="C0C0C0"/>
            </w:tcBorders>
          </w:tcPr>
          <w:p w:rsidR="003A181D" w:rsidRPr="004717B0" w:rsidRDefault="003A181D" w:rsidP="00D368E3">
            <w:pPr>
              <w:widowControl w:val="0"/>
              <w:autoSpaceDE w:val="0"/>
              <w:autoSpaceDN w:val="0"/>
              <w:adjustRightInd w:val="0"/>
              <w:spacing w:before="120" w:after="120" w:line="240" w:lineRule="auto"/>
              <w:rPr>
                <w:rFonts w:cstheme="minorHAnsi"/>
                <w:b/>
              </w:rPr>
            </w:pPr>
            <w:r>
              <w:rPr>
                <w:rFonts w:cstheme="minorHAnsi"/>
                <w:b/>
              </w:rPr>
              <w:t>22.2.3DEPRESSION</w:t>
            </w:r>
          </w:p>
        </w:tc>
      </w:tr>
    </w:tbl>
    <w:p w:rsidR="009C6787" w:rsidRPr="009C6787" w:rsidRDefault="009C6787" w:rsidP="00D368E3">
      <w:pPr>
        <w:pStyle w:val="ListParagraph"/>
        <w:autoSpaceDE w:val="0"/>
        <w:autoSpaceDN w:val="0"/>
        <w:adjustRightInd w:val="0"/>
        <w:ind w:left="0"/>
        <w:jc w:val="both"/>
        <w:rPr>
          <w:rFonts w:asciiTheme="minorHAnsi" w:hAnsiTheme="minorHAnsi" w:cstheme="minorHAnsi"/>
          <w:bCs/>
          <w:sz w:val="22"/>
          <w:szCs w:val="22"/>
        </w:rPr>
      </w:pPr>
      <w:r w:rsidRPr="009C6787">
        <w:rPr>
          <w:rFonts w:asciiTheme="minorHAnsi" w:hAnsiTheme="minorHAnsi" w:cstheme="minorHAnsi"/>
          <w:bCs/>
          <w:sz w:val="22"/>
          <w:szCs w:val="22"/>
          <w:u w:val="single"/>
        </w:rPr>
        <w:t>Fluox</w:t>
      </w:r>
      <w:r w:rsidR="00894D12">
        <w:rPr>
          <w:rFonts w:asciiTheme="minorHAnsi" w:hAnsiTheme="minorHAnsi" w:cstheme="minorHAnsi"/>
          <w:bCs/>
          <w:sz w:val="22"/>
          <w:szCs w:val="22"/>
          <w:u w:val="single"/>
        </w:rPr>
        <w:t>e</w:t>
      </w:r>
      <w:r w:rsidRPr="009C6787">
        <w:rPr>
          <w:rFonts w:asciiTheme="minorHAnsi" w:hAnsiTheme="minorHAnsi" w:cstheme="minorHAnsi"/>
          <w:bCs/>
          <w:sz w:val="22"/>
          <w:szCs w:val="22"/>
          <w:u w:val="single"/>
        </w:rPr>
        <w:t>tine, oral</w:t>
      </w:r>
      <w:r w:rsidRPr="009C6787">
        <w:rPr>
          <w:rFonts w:asciiTheme="minorHAnsi" w:hAnsiTheme="minorHAnsi" w:cstheme="minorHAnsi"/>
          <w:bCs/>
          <w:sz w:val="22"/>
          <w:szCs w:val="22"/>
        </w:rPr>
        <w:t xml:space="preserve">: </w:t>
      </w:r>
      <w:r w:rsidRPr="009C6787">
        <w:rPr>
          <w:rFonts w:asciiTheme="minorHAnsi" w:hAnsiTheme="minorHAnsi" w:cstheme="minorHAnsi"/>
          <w:bCs/>
          <w:i/>
          <w:sz w:val="22"/>
          <w:szCs w:val="22"/>
        </w:rPr>
        <w:t>added</w:t>
      </w:r>
    </w:p>
    <w:p w:rsidR="009C6787" w:rsidRPr="009C6787" w:rsidRDefault="009C6787" w:rsidP="00D368E3">
      <w:pPr>
        <w:pStyle w:val="ListParagraph"/>
        <w:autoSpaceDE w:val="0"/>
        <w:autoSpaceDN w:val="0"/>
        <w:adjustRightInd w:val="0"/>
        <w:ind w:left="0"/>
        <w:jc w:val="both"/>
        <w:rPr>
          <w:rFonts w:asciiTheme="minorHAnsi" w:hAnsiTheme="minorHAnsi" w:cstheme="minorHAnsi"/>
          <w:bCs/>
          <w:sz w:val="22"/>
          <w:szCs w:val="22"/>
        </w:rPr>
      </w:pPr>
      <w:r w:rsidRPr="009C6787">
        <w:rPr>
          <w:rFonts w:asciiTheme="minorHAnsi" w:hAnsiTheme="minorHAnsi" w:cstheme="minorHAnsi"/>
          <w:bCs/>
          <w:sz w:val="22"/>
          <w:szCs w:val="22"/>
          <w:u w:val="single"/>
        </w:rPr>
        <w:t>Citalopram, oral</w:t>
      </w:r>
      <w:r w:rsidRPr="009C6787">
        <w:rPr>
          <w:rFonts w:asciiTheme="minorHAnsi" w:hAnsiTheme="minorHAnsi" w:cstheme="minorHAnsi"/>
          <w:bCs/>
          <w:sz w:val="22"/>
          <w:szCs w:val="22"/>
        </w:rPr>
        <w:t xml:space="preserve">: </w:t>
      </w:r>
      <w:r w:rsidRPr="009C6787">
        <w:rPr>
          <w:rFonts w:asciiTheme="minorHAnsi" w:hAnsiTheme="minorHAnsi" w:cstheme="minorHAnsi"/>
          <w:bCs/>
          <w:i/>
          <w:sz w:val="22"/>
          <w:szCs w:val="22"/>
        </w:rPr>
        <w:t>added</w:t>
      </w:r>
    </w:p>
    <w:p w:rsidR="009C6787" w:rsidRPr="009C6787" w:rsidRDefault="009C6787" w:rsidP="00D368E3">
      <w:pPr>
        <w:pStyle w:val="ListParagraph"/>
        <w:autoSpaceDE w:val="0"/>
        <w:autoSpaceDN w:val="0"/>
        <w:adjustRightInd w:val="0"/>
        <w:ind w:left="0"/>
        <w:jc w:val="both"/>
        <w:rPr>
          <w:rFonts w:asciiTheme="minorHAnsi" w:hAnsiTheme="minorHAnsi" w:cstheme="minorHAnsi"/>
          <w:bCs/>
          <w:sz w:val="22"/>
          <w:szCs w:val="22"/>
        </w:rPr>
      </w:pPr>
      <w:r w:rsidRPr="009C6787">
        <w:rPr>
          <w:rFonts w:asciiTheme="minorHAnsi" w:hAnsiTheme="minorHAnsi" w:cstheme="minorHAnsi"/>
          <w:bCs/>
          <w:sz w:val="22"/>
          <w:szCs w:val="22"/>
          <w:u w:val="single"/>
        </w:rPr>
        <w:t>Amitryptiline, oral:</w:t>
      </w:r>
      <w:r w:rsidRPr="009C6787">
        <w:rPr>
          <w:rFonts w:asciiTheme="minorHAnsi" w:hAnsiTheme="minorHAnsi" w:cstheme="minorHAnsi"/>
          <w:bCs/>
          <w:i/>
          <w:sz w:val="22"/>
          <w:szCs w:val="22"/>
        </w:rPr>
        <w:t>added</w:t>
      </w:r>
    </w:p>
    <w:p w:rsidR="009C6787" w:rsidRDefault="009C6787" w:rsidP="00D368E3">
      <w:pPr>
        <w:pStyle w:val="ListParagraph"/>
        <w:autoSpaceDE w:val="0"/>
        <w:autoSpaceDN w:val="0"/>
        <w:adjustRightInd w:val="0"/>
        <w:ind w:left="0"/>
        <w:jc w:val="both"/>
        <w:rPr>
          <w:rFonts w:asciiTheme="minorHAnsi" w:hAnsiTheme="minorHAnsi" w:cstheme="minorHAnsi"/>
          <w:b/>
          <w:bCs/>
          <w:sz w:val="22"/>
          <w:szCs w:val="22"/>
        </w:rPr>
      </w:pPr>
    </w:p>
    <w:p w:rsidR="003A181D" w:rsidRPr="009C6787" w:rsidRDefault="009C6787" w:rsidP="00D368E3">
      <w:pPr>
        <w:pStyle w:val="ListParagraph"/>
        <w:autoSpaceDE w:val="0"/>
        <w:autoSpaceDN w:val="0"/>
        <w:adjustRightInd w:val="0"/>
        <w:ind w:left="0"/>
        <w:jc w:val="both"/>
        <w:rPr>
          <w:rFonts w:asciiTheme="minorHAnsi" w:hAnsiTheme="minorHAnsi" w:cstheme="minorHAnsi"/>
          <w:bCs/>
          <w:sz w:val="22"/>
          <w:szCs w:val="22"/>
        </w:rPr>
      </w:pPr>
      <w:r w:rsidRPr="009C6787">
        <w:rPr>
          <w:rFonts w:asciiTheme="minorHAnsi" w:hAnsiTheme="minorHAnsi" w:cstheme="minorHAnsi"/>
          <w:bCs/>
          <w:sz w:val="22"/>
          <w:szCs w:val="22"/>
        </w:rPr>
        <w:t>Medicine management aligned with the PHC (2014) and Adult Hospital level (2015) mental health care chapters and caution regarding t</w:t>
      </w:r>
      <w:r w:rsidR="003A181D" w:rsidRPr="009C6787">
        <w:rPr>
          <w:rFonts w:asciiTheme="minorHAnsi" w:hAnsiTheme="minorHAnsi" w:cstheme="minorHAnsi"/>
          <w:bCs/>
          <w:sz w:val="22"/>
          <w:szCs w:val="22"/>
        </w:rPr>
        <w:t>ricyclic antidepressants (TCAs)</w:t>
      </w:r>
      <w:r w:rsidRPr="009C6787">
        <w:rPr>
          <w:rFonts w:asciiTheme="minorHAnsi" w:hAnsiTheme="minorHAnsi" w:cstheme="minorHAnsi"/>
          <w:bCs/>
          <w:sz w:val="22"/>
          <w:szCs w:val="22"/>
        </w:rPr>
        <w:t xml:space="preserve"> in palliation added </w:t>
      </w:r>
      <w:r>
        <w:rPr>
          <w:rFonts w:asciiTheme="minorHAnsi" w:hAnsiTheme="minorHAnsi" w:cstheme="minorHAnsi"/>
          <w:bCs/>
          <w:sz w:val="22"/>
          <w:szCs w:val="22"/>
        </w:rPr>
        <w:t xml:space="preserve">to the text of the STG </w:t>
      </w:r>
      <w:r w:rsidRPr="009C6787">
        <w:rPr>
          <w:rFonts w:asciiTheme="minorHAnsi" w:hAnsiTheme="minorHAnsi" w:cstheme="minorHAnsi"/>
          <w:bCs/>
          <w:sz w:val="22"/>
          <w:szCs w:val="22"/>
        </w:rPr>
        <w:t>as follows (aligned with SAMF, 2016)</w:t>
      </w:r>
      <w:r w:rsidR="003A181D" w:rsidRPr="009C6787">
        <w:rPr>
          <w:rFonts w:asciiTheme="minorHAnsi" w:hAnsiTheme="minorHAnsi" w:cstheme="minorHAnsi"/>
          <w:bCs/>
          <w:sz w:val="22"/>
          <w:szCs w:val="22"/>
        </w:rPr>
        <w:t>:</w:t>
      </w:r>
    </w:p>
    <w:tbl>
      <w:tblPr>
        <w:tblStyle w:val="TableGrid"/>
        <w:tblW w:w="0" w:type="auto"/>
        <w:tblLook w:val="04A0"/>
      </w:tblPr>
      <w:tblGrid>
        <w:gridCol w:w="9242"/>
      </w:tblGrid>
      <w:tr w:rsidR="003A181D" w:rsidRPr="009C6787" w:rsidTr="003314AF">
        <w:tc>
          <w:tcPr>
            <w:tcW w:w="9242" w:type="dxa"/>
          </w:tcPr>
          <w:p w:rsidR="003A181D" w:rsidRPr="009C6787" w:rsidRDefault="003A181D" w:rsidP="00D368E3">
            <w:pPr>
              <w:widowControl w:val="0"/>
              <w:autoSpaceDN w:val="0"/>
              <w:adjustRightInd w:val="0"/>
              <w:rPr>
                <w:rFonts w:asciiTheme="minorHAnsi" w:eastAsia="Times New Roman" w:hAnsiTheme="minorHAnsi" w:cstheme="minorHAnsi"/>
                <w:sz w:val="22"/>
                <w:szCs w:val="22"/>
                <w:lang w:val="en-GB" w:eastAsia="ar-SA"/>
              </w:rPr>
            </w:pPr>
            <w:r w:rsidRPr="009C6787">
              <w:rPr>
                <w:rFonts w:asciiTheme="minorHAnsi" w:eastAsia="Times New Roman" w:hAnsiTheme="minorHAnsi" w:cstheme="minorHAnsi"/>
                <w:b/>
                <w:sz w:val="22"/>
                <w:szCs w:val="22"/>
                <w:lang w:eastAsia="en-ZA"/>
              </w:rPr>
              <w:t>Note:</w:t>
            </w:r>
            <w:r w:rsidRPr="009C6787">
              <w:rPr>
                <w:rFonts w:asciiTheme="minorHAnsi" w:eastAsia="Times New Roman" w:hAnsiTheme="minorHAnsi" w:cstheme="minorHAnsi"/>
                <w:sz w:val="22"/>
                <w:szCs w:val="22"/>
                <w:lang w:eastAsia="en-ZA"/>
              </w:rPr>
              <w:t xml:space="preserve"> Tricyclic antidepressants may cause dry mouth, constipation, urinary retention, and confusion, which might be especially problematic in palliative care patients. Use the lowest dose possible, and titrate slowly.</w:t>
            </w:r>
          </w:p>
        </w:tc>
      </w:tr>
    </w:tbl>
    <w:p w:rsidR="003A181D" w:rsidRPr="009C6787" w:rsidRDefault="003A181D" w:rsidP="00D368E3">
      <w:pPr>
        <w:pStyle w:val="ListParagraph"/>
        <w:autoSpaceDE w:val="0"/>
        <w:autoSpaceDN w:val="0"/>
        <w:adjustRightInd w:val="0"/>
        <w:ind w:left="0"/>
        <w:jc w:val="both"/>
        <w:rPr>
          <w:rFonts w:asciiTheme="minorHAnsi" w:hAnsiTheme="minorHAnsi"/>
          <w:b/>
          <w:bCs/>
          <w:sz w:val="22"/>
          <w:szCs w:val="22"/>
        </w:rPr>
      </w:pPr>
      <w:r w:rsidRPr="009C6787">
        <w:rPr>
          <w:rFonts w:asciiTheme="minorHAnsi" w:hAnsiTheme="minorHAnsi" w:cstheme="minorHAnsi"/>
          <w:b/>
          <w:bCs/>
          <w:sz w:val="22"/>
          <w:szCs w:val="22"/>
        </w:rPr>
        <w:t>Level of Evidence: III Guidelines</w:t>
      </w:r>
    </w:p>
    <w:p w:rsidR="009C6787" w:rsidRDefault="009C6787" w:rsidP="00D368E3">
      <w:pPr>
        <w:pStyle w:val="ListParagraph"/>
        <w:autoSpaceDE w:val="0"/>
        <w:autoSpaceDN w:val="0"/>
        <w:adjustRightInd w:val="0"/>
        <w:ind w:left="0"/>
        <w:jc w:val="both"/>
        <w:rPr>
          <w:rFonts w:asciiTheme="minorHAnsi" w:hAnsiTheme="minorHAnsi" w:cstheme="minorHAnsi"/>
          <w:b/>
          <w:bCs/>
          <w:sz w:val="22"/>
          <w:szCs w:val="22"/>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3A181D" w:rsidRPr="00554428" w:rsidTr="003314AF">
        <w:tc>
          <w:tcPr>
            <w:tcW w:w="9242" w:type="dxa"/>
            <w:tcBorders>
              <w:top w:val="double" w:sz="4" w:space="0" w:color="C0C0C0"/>
              <w:left w:val="double" w:sz="4" w:space="0" w:color="C0C0C0"/>
              <w:bottom w:val="double" w:sz="4" w:space="0" w:color="C0C0C0"/>
              <w:right w:val="double" w:sz="4" w:space="0" w:color="C0C0C0"/>
            </w:tcBorders>
          </w:tcPr>
          <w:p w:rsidR="003A181D" w:rsidRPr="004717B0" w:rsidRDefault="003A181D" w:rsidP="00D368E3">
            <w:pPr>
              <w:widowControl w:val="0"/>
              <w:autoSpaceDE w:val="0"/>
              <w:autoSpaceDN w:val="0"/>
              <w:adjustRightInd w:val="0"/>
              <w:spacing w:before="120" w:after="120" w:line="240" w:lineRule="auto"/>
              <w:rPr>
                <w:rFonts w:cstheme="minorHAnsi"/>
                <w:b/>
              </w:rPr>
            </w:pPr>
            <w:r>
              <w:rPr>
                <w:rFonts w:cstheme="minorHAnsi"/>
                <w:b/>
              </w:rPr>
              <w:t>22.</w:t>
            </w:r>
            <w:r w:rsidR="009C6787">
              <w:rPr>
                <w:rFonts w:cstheme="minorHAnsi"/>
                <w:b/>
              </w:rPr>
              <w:t>3.1DYSPNOEA</w:t>
            </w:r>
          </w:p>
        </w:tc>
      </w:tr>
    </w:tbl>
    <w:p w:rsidR="005C542D" w:rsidRPr="009C6787" w:rsidRDefault="005C542D" w:rsidP="00D368E3">
      <w:pPr>
        <w:pStyle w:val="ListParagraph"/>
        <w:autoSpaceDE w:val="0"/>
        <w:autoSpaceDN w:val="0"/>
        <w:adjustRightInd w:val="0"/>
        <w:ind w:left="0"/>
        <w:jc w:val="both"/>
        <w:rPr>
          <w:rFonts w:asciiTheme="minorHAnsi" w:hAnsiTheme="minorHAnsi" w:cstheme="minorHAnsi"/>
          <w:bCs/>
          <w:sz w:val="22"/>
          <w:szCs w:val="22"/>
        </w:rPr>
      </w:pPr>
      <w:r w:rsidRPr="009C6787">
        <w:rPr>
          <w:rFonts w:asciiTheme="minorHAnsi" w:hAnsiTheme="minorHAnsi" w:cstheme="minorHAnsi"/>
          <w:bCs/>
          <w:sz w:val="22"/>
          <w:szCs w:val="22"/>
          <w:u w:val="single"/>
        </w:rPr>
        <w:t>Morphine syrup</w:t>
      </w:r>
      <w:r w:rsidR="009C6787" w:rsidRPr="009C6787">
        <w:rPr>
          <w:rFonts w:asciiTheme="minorHAnsi" w:hAnsiTheme="minorHAnsi" w:cstheme="minorHAnsi"/>
          <w:bCs/>
          <w:sz w:val="22"/>
          <w:szCs w:val="22"/>
          <w:u w:val="single"/>
        </w:rPr>
        <w:t>:</w:t>
      </w:r>
      <w:r w:rsidR="009C6787" w:rsidRPr="009C6787">
        <w:rPr>
          <w:rFonts w:asciiTheme="minorHAnsi" w:hAnsiTheme="minorHAnsi" w:cstheme="minorHAnsi"/>
          <w:bCs/>
          <w:i/>
          <w:sz w:val="22"/>
          <w:szCs w:val="22"/>
        </w:rPr>
        <w:t>added</w:t>
      </w:r>
    </w:p>
    <w:p w:rsidR="009C6787" w:rsidRDefault="009C6787" w:rsidP="00D368E3">
      <w:pPr>
        <w:spacing w:after="0" w:line="240" w:lineRule="auto"/>
        <w:jc w:val="both"/>
        <w:rPr>
          <w:rFonts w:ascii="Calibri" w:eastAsia="SimSun" w:hAnsi="Calibri" w:cs="Calibri"/>
          <w:bCs/>
          <w:noProof/>
          <w:lang w:eastAsia="ja-JP"/>
        </w:rPr>
      </w:pPr>
      <w:r>
        <w:rPr>
          <w:rFonts w:ascii="Calibri" w:eastAsia="SimSun" w:hAnsi="Calibri" w:cs="Calibri"/>
          <w:bCs/>
          <w:noProof/>
          <w:lang w:eastAsia="ja-JP"/>
        </w:rPr>
        <w:lastRenderedPageBreak/>
        <w:t>(Refer to the medicine review for detailed information)</w:t>
      </w:r>
    </w:p>
    <w:p w:rsidR="009C6787" w:rsidRDefault="009C6787" w:rsidP="00D368E3">
      <w:pPr>
        <w:spacing w:after="0" w:line="240" w:lineRule="auto"/>
        <w:jc w:val="both"/>
        <w:rPr>
          <w:rFonts w:ascii="Calibri" w:eastAsia="SimSun" w:hAnsi="Calibri" w:cs="Calibri"/>
          <w:bCs/>
          <w:noProof/>
          <w:lang w:eastAsia="ja-JP"/>
        </w:rPr>
      </w:pPr>
    </w:p>
    <w:p w:rsidR="005C542D" w:rsidRPr="00875163" w:rsidRDefault="005C542D" w:rsidP="00D368E3">
      <w:pPr>
        <w:spacing w:after="0" w:line="240" w:lineRule="auto"/>
        <w:jc w:val="both"/>
        <w:rPr>
          <w:rFonts w:ascii="Calibri" w:eastAsia="SimSun" w:hAnsi="Calibri" w:cs="Calibri"/>
          <w:bCs/>
          <w:noProof/>
          <w:lang w:eastAsia="ja-JP"/>
        </w:rPr>
      </w:pPr>
      <w:r>
        <w:rPr>
          <w:rFonts w:ascii="Calibri" w:eastAsia="SimSun" w:hAnsi="Calibri" w:cs="Calibri"/>
          <w:bCs/>
          <w:noProof/>
          <w:lang w:eastAsia="ja-JP"/>
        </w:rPr>
        <w:t>Based on the evidence review, the Primary Health Care Committee r</w:t>
      </w:r>
      <w:r w:rsidRPr="00875163">
        <w:rPr>
          <w:rFonts w:ascii="Calibri" w:eastAsia="SimSun" w:hAnsi="Calibri" w:cs="Calibri"/>
          <w:bCs/>
          <w:noProof/>
          <w:lang w:eastAsia="ja-JP"/>
        </w:rPr>
        <w:t>ecommend</w:t>
      </w:r>
      <w:r>
        <w:rPr>
          <w:rFonts w:ascii="Calibri" w:eastAsia="SimSun" w:hAnsi="Calibri" w:cs="Calibri"/>
          <w:bCs/>
          <w:noProof/>
          <w:lang w:eastAsia="ja-JP"/>
        </w:rPr>
        <w:t>s</w:t>
      </w:r>
      <w:r w:rsidRPr="00875163">
        <w:rPr>
          <w:rFonts w:ascii="Calibri" w:eastAsia="SimSun" w:hAnsi="Calibri" w:cs="Calibri"/>
          <w:bCs/>
          <w:noProof/>
          <w:lang w:eastAsia="ja-JP"/>
        </w:rPr>
        <w:t xml:space="preserve"> the addition of </w:t>
      </w:r>
      <w:r>
        <w:rPr>
          <w:rFonts w:ascii="Calibri" w:eastAsia="SimSun" w:hAnsi="Calibri" w:cs="Calibri"/>
          <w:bCs/>
          <w:noProof/>
          <w:lang w:eastAsia="ja-JP"/>
        </w:rPr>
        <w:t>oral morphine for the management of palliative dyspnea in paediatric and adult patients receiving palliative care.</w:t>
      </w:r>
    </w:p>
    <w:p w:rsidR="005C542D" w:rsidRPr="005A57CE" w:rsidRDefault="005C542D" w:rsidP="00D368E3">
      <w:pPr>
        <w:spacing w:after="0" w:line="240" w:lineRule="auto"/>
        <w:jc w:val="both"/>
        <w:rPr>
          <w:rFonts w:ascii="Calibri" w:eastAsia="SimSun" w:hAnsi="Calibri" w:cs="Calibri"/>
          <w:bCs/>
          <w:noProof/>
          <w:lang w:eastAsia="ja-JP"/>
        </w:rPr>
      </w:pPr>
      <w:r w:rsidRPr="00FF047C">
        <w:rPr>
          <w:rFonts w:ascii="Calibri" w:eastAsia="SimSun" w:hAnsi="Calibri" w:cs="Calibri"/>
          <w:bCs/>
          <w:i/>
          <w:noProof/>
          <w:lang w:eastAsia="ja-JP"/>
        </w:rPr>
        <w:t>Rationale:</w:t>
      </w:r>
      <w:r>
        <w:rPr>
          <w:rFonts w:ascii="Calibri" w:eastAsia="SimSun" w:hAnsi="Calibri" w:cs="Calibri"/>
          <w:bCs/>
          <w:noProof/>
          <w:lang w:eastAsia="ja-JP"/>
        </w:rPr>
        <w:t xml:space="preserve">Systematic review and metaanalysis of limited low quality RCTs suggests that oral opioids may be of benefit to </w:t>
      </w:r>
      <w:r w:rsidRPr="005A57CE">
        <w:rPr>
          <w:rFonts w:ascii="Calibri" w:eastAsia="SimSun" w:hAnsi="Calibri" w:cs="Calibri"/>
          <w:bCs/>
          <w:noProof/>
          <w:lang w:eastAsia="ja-JP"/>
        </w:rPr>
        <w:t>palliate breathlessness</w:t>
      </w:r>
      <w:r>
        <w:rPr>
          <w:rFonts w:ascii="Calibri" w:eastAsia="SimSun" w:hAnsi="Calibri" w:cs="Calibri"/>
          <w:bCs/>
          <w:noProof/>
          <w:lang w:eastAsia="ja-JP"/>
        </w:rPr>
        <w:t xml:space="preserve"> in adults; however</w:t>
      </w:r>
      <w:r w:rsidRPr="005A57CE">
        <w:rPr>
          <w:rFonts w:ascii="Calibri" w:eastAsia="SimSun" w:hAnsi="Calibri" w:cs="Calibri"/>
          <w:bCs/>
          <w:noProof/>
          <w:lang w:eastAsia="ja-JP"/>
        </w:rPr>
        <w:t>,</w:t>
      </w:r>
      <w:r>
        <w:rPr>
          <w:rFonts w:ascii="Calibri" w:eastAsia="SimSun" w:hAnsi="Calibri" w:cs="Calibri"/>
          <w:bCs/>
          <w:noProof/>
          <w:lang w:eastAsia="ja-JP"/>
        </w:rPr>
        <w:t xml:space="preserve"> studies were very small. There is a paucity of RCT data for the management of palliative dyspnoea in children; however morphine, oral is standard of care as recommmended in a number of guidelines. </w:t>
      </w:r>
    </w:p>
    <w:p w:rsidR="005C542D" w:rsidRPr="00875163" w:rsidRDefault="005C542D" w:rsidP="00D368E3">
      <w:pPr>
        <w:spacing w:after="0" w:line="240" w:lineRule="auto"/>
        <w:rPr>
          <w:rFonts w:ascii="Calibri" w:eastAsia="SimSun" w:hAnsi="Calibri" w:cs="Calibri"/>
          <w:b/>
          <w:bCs/>
          <w:noProof/>
          <w:lang w:eastAsia="ja-JP"/>
        </w:rPr>
      </w:pPr>
      <w:r w:rsidRPr="00875163">
        <w:rPr>
          <w:rFonts w:ascii="Calibri" w:eastAsia="SimSun" w:hAnsi="Calibri" w:cs="Calibri"/>
          <w:b/>
          <w:bCs/>
          <w:noProof/>
          <w:lang w:eastAsia="ja-JP"/>
        </w:rPr>
        <w:t>Level of Evidence:</w:t>
      </w:r>
      <w:r>
        <w:rPr>
          <w:rFonts w:ascii="Calibri" w:eastAsia="SimSun" w:hAnsi="Calibri" w:cs="Calibri"/>
          <w:b/>
          <w:bCs/>
          <w:noProof/>
          <w:lang w:eastAsia="ja-JP"/>
        </w:rPr>
        <w:t xml:space="preserve"> II Systematic review of low to very low RCTs, </w:t>
      </w:r>
      <w:r>
        <w:rPr>
          <w:rFonts w:eastAsia="SimSun" w:cs="Calibri"/>
          <w:b/>
          <w:bCs/>
          <w:noProof/>
          <w:lang w:eastAsia="ja-JP"/>
        </w:rPr>
        <w:t xml:space="preserve">III </w:t>
      </w:r>
      <w:r>
        <w:rPr>
          <w:rFonts w:ascii="Calibri" w:eastAsia="SimSun" w:hAnsi="Calibri" w:cs="Calibri"/>
          <w:b/>
          <w:bCs/>
          <w:noProof/>
          <w:lang w:eastAsia="ja-JP"/>
        </w:rPr>
        <w:t>Guidelines</w:t>
      </w:r>
    </w:p>
    <w:p w:rsidR="005C542D" w:rsidRDefault="005C542D" w:rsidP="00D368E3">
      <w:pPr>
        <w:spacing w:after="0" w:line="240" w:lineRule="auto"/>
        <w:rPr>
          <w:b/>
          <w:u w:val="single"/>
        </w:rPr>
      </w:pPr>
    </w:p>
    <w:p w:rsidR="003A181D" w:rsidRPr="00F74046" w:rsidRDefault="003A181D" w:rsidP="00D368E3">
      <w:pPr>
        <w:autoSpaceDE w:val="0"/>
        <w:autoSpaceDN w:val="0"/>
        <w:adjustRightInd w:val="0"/>
        <w:spacing w:after="0" w:line="240" w:lineRule="auto"/>
        <w:jc w:val="both"/>
        <w:rPr>
          <w:rFonts w:cstheme="minorHAnsi"/>
          <w:b/>
          <w:bCs/>
          <w:i/>
          <w:color w:val="000000"/>
        </w:rPr>
      </w:pPr>
      <w:r w:rsidRPr="009C6787">
        <w:rPr>
          <w:rFonts w:cstheme="minorHAnsi"/>
          <w:bCs/>
          <w:color w:val="000000"/>
          <w:u w:val="single"/>
        </w:rPr>
        <w:t>Home-based oxygen</w:t>
      </w:r>
      <w:r w:rsidR="009C6787">
        <w:rPr>
          <w:rFonts w:cstheme="minorHAnsi"/>
          <w:b/>
          <w:bCs/>
          <w:i/>
          <w:color w:val="000000"/>
        </w:rPr>
        <w:t xml:space="preserve">: </w:t>
      </w:r>
      <w:r w:rsidR="009C6787" w:rsidRPr="009C6787">
        <w:rPr>
          <w:rFonts w:cstheme="minorHAnsi"/>
          <w:bCs/>
          <w:i/>
          <w:color w:val="000000"/>
        </w:rPr>
        <w:t>not added</w:t>
      </w:r>
    </w:p>
    <w:p w:rsidR="003A181D" w:rsidRPr="00F74046" w:rsidRDefault="003A181D" w:rsidP="00D368E3">
      <w:pPr>
        <w:autoSpaceDE w:val="0"/>
        <w:autoSpaceDN w:val="0"/>
        <w:adjustRightInd w:val="0"/>
        <w:spacing w:after="0" w:line="240" w:lineRule="auto"/>
        <w:jc w:val="both"/>
        <w:rPr>
          <w:rFonts w:cstheme="minorHAnsi"/>
          <w:bCs/>
          <w:color w:val="000000"/>
        </w:rPr>
      </w:pPr>
      <w:r w:rsidRPr="00F74046">
        <w:rPr>
          <w:rFonts w:cstheme="minorHAnsi"/>
          <w:bCs/>
          <w:color w:val="000000"/>
        </w:rPr>
        <w:t xml:space="preserve">As the Paediatric Hospital level STG </w:t>
      </w:r>
      <w:r w:rsidR="009C6787">
        <w:rPr>
          <w:rFonts w:cstheme="minorHAnsi"/>
          <w:bCs/>
          <w:color w:val="000000"/>
        </w:rPr>
        <w:t>(2016) recommends home-based oxygen;</w:t>
      </w:r>
      <w:r w:rsidRPr="00F74046">
        <w:rPr>
          <w:rFonts w:cstheme="minorHAnsi"/>
          <w:bCs/>
          <w:color w:val="000000"/>
        </w:rPr>
        <w:t xml:space="preserve"> the need for oxygen for hypoxia be included as a referral criteri</w:t>
      </w:r>
      <w:r w:rsidR="008328EA">
        <w:rPr>
          <w:rFonts w:cstheme="minorHAnsi"/>
          <w:bCs/>
          <w:color w:val="000000"/>
        </w:rPr>
        <w:t>on</w:t>
      </w:r>
      <w:bookmarkStart w:id="0" w:name="_GoBack"/>
      <w:bookmarkEnd w:id="0"/>
      <w:r w:rsidRPr="00F74046">
        <w:rPr>
          <w:rFonts w:cstheme="minorHAnsi"/>
          <w:bCs/>
          <w:color w:val="000000"/>
        </w:rPr>
        <w:t xml:space="preserve">. </w:t>
      </w:r>
    </w:p>
    <w:p w:rsidR="0098743F" w:rsidRPr="004507C5" w:rsidRDefault="0098743F" w:rsidP="00D368E3">
      <w:pPr>
        <w:pStyle w:val="ListParagraph"/>
        <w:autoSpaceDE w:val="0"/>
        <w:autoSpaceDN w:val="0"/>
        <w:adjustRightInd w:val="0"/>
        <w:ind w:left="0"/>
        <w:jc w:val="both"/>
        <w:rPr>
          <w:rFonts w:asciiTheme="minorHAnsi" w:hAnsiTheme="minorHAnsi" w:cstheme="minorHAnsi"/>
          <w:b/>
          <w:bCs/>
          <w:sz w:val="22"/>
          <w:szCs w:val="22"/>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D368E3" w:rsidRPr="00554428" w:rsidTr="00690390">
        <w:tc>
          <w:tcPr>
            <w:tcW w:w="9242" w:type="dxa"/>
            <w:tcBorders>
              <w:top w:val="double" w:sz="4" w:space="0" w:color="C0C0C0"/>
              <w:left w:val="double" w:sz="4" w:space="0" w:color="C0C0C0"/>
              <w:bottom w:val="double" w:sz="4" w:space="0" w:color="C0C0C0"/>
              <w:right w:val="double" w:sz="4" w:space="0" w:color="C0C0C0"/>
            </w:tcBorders>
          </w:tcPr>
          <w:p w:rsidR="00D368E3" w:rsidRPr="004717B0" w:rsidRDefault="00D368E3" w:rsidP="00D368E3">
            <w:pPr>
              <w:widowControl w:val="0"/>
              <w:autoSpaceDE w:val="0"/>
              <w:autoSpaceDN w:val="0"/>
              <w:adjustRightInd w:val="0"/>
              <w:spacing w:before="120" w:after="120" w:line="240" w:lineRule="auto"/>
              <w:rPr>
                <w:rFonts w:cstheme="minorHAnsi"/>
                <w:b/>
              </w:rPr>
            </w:pPr>
            <w:r>
              <w:rPr>
                <w:rFonts w:cstheme="minorHAnsi"/>
                <w:b/>
              </w:rPr>
              <w:t>FATIGUE</w:t>
            </w:r>
          </w:p>
        </w:tc>
      </w:tr>
    </w:tbl>
    <w:p w:rsidR="0098743F" w:rsidRDefault="0098743F" w:rsidP="00D368E3">
      <w:pPr>
        <w:pStyle w:val="ListParagraph"/>
        <w:autoSpaceDE w:val="0"/>
        <w:autoSpaceDN w:val="0"/>
        <w:adjustRightInd w:val="0"/>
        <w:ind w:left="0"/>
        <w:jc w:val="both"/>
        <w:rPr>
          <w:rFonts w:asciiTheme="minorHAnsi" w:hAnsiTheme="minorHAnsi" w:cstheme="minorHAnsi"/>
          <w:bCs/>
          <w:i/>
          <w:sz w:val="22"/>
          <w:szCs w:val="22"/>
          <w:lang w:eastAsia="en-ZA"/>
        </w:rPr>
      </w:pPr>
      <w:r w:rsidRPr="004507C5">
        <w:rPr>
          <w:rFonts w:asciiTheme="minorHAnsi" w:hAnsiTheme="minorHAnsi" w:cstheme="minorHAnsi"/>
          <w:bCs/>
          <w:sz w:val="22"/>
          <w:szCs w:val="22"/>
          <w:u w:val="single"/>
          <w:lang w:eastAsia="en-ZA"/>
        </w:rPr>
        <w:t>Betamethasone/dexamethasone, oral:</w:t>
      </w:r>
      <w:r w:rsidRPr="004507C5">
        <w:rPr>
          <w:rFonts w:asciiTheme="minorHAnsi" w:hAnsiTheme="minorHAnsi" w:cstheme="minorHAnsi"/>
          <w:bCs/>
          <w:i/>
          <w:sz w:val="22"/>
          <w:szCs w:val="22"/>
          <w:lang w:eastAsia="en-ZA"/>
        </w:rPr>
        <w:t>not added</w:t>
      </w:r>
    </w:p>
    <w:p w:rsidR="00D368E3" w:rsidRDefault="00D368E3" w:rsidP="00D368E3">
      <w:pPr>
        <w:pStyle w:val="ListParagraph"/>
        <w:autoSpaceDE w:val="0"/>
        <w:autoSpaceDN w:val="0"/>
        <w:adjustRightInd w:val="0"/>
        <w:ind w:left="0"/>
        <w:jc w:val="both"/>
        <w:rPr>
          <w:rFonts w:asciiTheme="minorHAnsi" w:hAnsiTheme="minorHAnsi" w:cstheme="minorHAnsi"/>
          <w:bCs/>
          <w:sz w:val="22"/>
          <w:szCs w:val="22"/>
          <w:lang w:eastAsia="en-ZA"/>
        </w:rPr>
      </w:pPr>
      <w:r>
        <w:rPr>
          <w:rFonts w:asciiTheme="minorHAnsi" w:hAnsiTheme="minorHAnsi" w:cstheme="minorHAnsi"/>
          <w:bCs/>
          <w:sz w:val="22"/>
          <w:szCs w:val="22"/>
          <w:lang w:eastAsia="en-ZA"/>
        </w:rPr>
        <w:t>(Refer to the medicine review for detailed information).</w:t>
      </w:r>
    </w:p>
    <w:p w:rsidR="00D368E3" w:rsidRPr="00D368E3" w:rsidRDefault="00D368E3" w:rsidP="00D368E3">
      <w:pPr>
        <w:pStyle w:val="ListParagraph"/>
        <w:autoSpaceDE w:val="0"/>
        <w:autoSpaceDN w:val="0"/>
        <w:adjustRightInd w:val="0"/>
        <w:ind w:left="0"/>
        <w:jc w:val="both"/>
        <w:rPr>
          <w:rFonts w:asciiTheme="minorHAnsi" w:hAnsiTheme="minorHAnsi" w:cstheme="minorHAnsi"/>
          <w:b/>
          <w:bCs/>
          <w:sz w:val="22"/>
          <w:szCs w:val="22"/>
          <w:lang w:eastAsia="en-ZA"/>
        </w:rPr>
      </w:pPr>
    </w:p>
    <w:p w:rsidR="0098743F" w:rsidRPr="004507C5" w:rsidRDefault="00D368E3" w:rsidP="00D368E3">
      <w:pPr>
        <w:pStyle w:val="ListParagraph"/>
        <w:autoSpaceDE w:val="0"/>
        <w:autoSpaceDN w:val="0"/>
        <w:adjustRightInd w:val="0"/>
        <w:ind w:left="0"/>
        <w:jc w:val="both"/>
        <w:rPr>
          <w:rFonts w:asciiTheme="minorHAnsi" w:hAnsiTheme="minorHAnsi" w:cstheme="minorHAnsi"/>
          <w:bCs/>
          <w:sz w:val="22"/>
          <w:szCs w:val="22"/>
          <w:lang w:eastAsia="en-ZA"/>
        </w:rPr>
      </w:pPr>
      <w:r>
        <w:rPr>
          <w:rFonts w:asciiTheme="minorHAnsi" w:hAnsiTheme="minorHAnsi" w:cstheme="minorHAnsi"/>
          <w:bCs/>
          <w:sz w:val="22"/>
          <w:szCs w:val="22"/>
          <w:lang w:eastAsia="en-ZA"/>
        </w:rPr>
        <w:t>There</w:t>
      </w:r>
      <w:r w:rsidR="0098743F" w:rsidRPr="004507C5">
        <w:rPr>
          <w:rFonts w:asciiTheme="minorHAnsi" w:hAnsiTheme="minorHAnsi" w:cstheme="minorHAnsi"/>
          <w:bCs/>
          <w:sz w:val="22"/>
          <w:szCs w:val="22"/>
          <w:lang w:eastAsia="en-ZA"/>
        </w:rPr>
        <w:t xml:space="preserve"> is very limited evidence and recommended use appears to be guided by expert opinion. There is no clear evidence of efficacy, or safety or evidence for dosage, duration of treatment, specific indications/contraindications. Primarily used short-term in specific patients who are terminally ill and the risk of adverse effects should be taken into consideration.</w:t>
      </w:r>
    </w:p>
    <w:p w:rsidR="0098743F" w:rsidRPr="004507C5" w:rsidRDefault="0098743F" w:rsidP="00D368E3">
      <w:pPr>
        <w:pStyle w:val="ListParagraph"/>
        <w:autoSpaceDE w:val="0"/>
        <w:autoSpaceDN w:val="0"/>
        <w:adjustRightInd w:val="0"/>
        <w:ind w:left="0"/>
        <w:jc w:val="both"/>
        <w:rPr>
          <w:rFonts w:asciiTheme="minorHAnsi" w:hAnsiTheme="minorHAnsi" w:cstheme="minorHAnsi"/>
          <w:b/>
          <w:bCs/>
          <w:sz w:val="22"/>
          <w:szCs w:val="22"/>
          <w:lang w:eastAsia="en-ZA"/>
        </w:rPr>
      </w:pPr>
      <w:r w:rsidRPr="004507C5">
        <w:rPr>
          <w:rFonts w:asciiTheme="minorHAnsi" w:hAnsiTheme="minorHAnsi" w:cstheme="minorHAnsi"/>
          <w:b/>
          <w:bCs/>
          <w:sz w:val="22"/>
          <w:szCs w:val="22"/>
          <w:lang w:eastAsia="en-ZA"/>
        </w:rPr>
        <w:t xml:space="preserve">Recommendation: </w:t>
      </w:r>
    </w:p>
    <w:p w:rsidR="0098743F" w:rsidRDefault="0098743F" w:rsidP="00D368E3">
      <w:pPr>
        <w:pStyle w:val="ListParagraph"/>
        <w:numPr>
          <w:ilvl w:val="0"/>
          <w:numId w:val="18"/>
        </w:numPr>
        <w:autoSpaceDE w:val="0"/>
        <w:autoSpaceDN w:val="0"/>
        <w:adjustRightInd w:val="0"/>
        <w:jc w:val="both"/>
        <w:rPr>
          <w:rFonts w:asciiTheme="minorHAnsi" w:hAnsiTheme="minorHAnsi" w:cstheme="minorHAnsi"/>
          <w:bCs/>
          <w:sz w:val="22"/>
          <w:szCs w:val="22"/>
          <w:lang w:eastAsia="en-ZA"/>
        </w:rPr>
      </w:pPr>
      <w:r w:rsidRPr="004507C5">
        <w:rPr>
          <w:rFonts w:asciiTheme="minorHAnsi" w:hAnsiTheme="minorHAnsi" w:cstheme="minorHAnsi"/>
          <w:bCs/>
          <w:sz w:val="22"/>
          <w:szCs w:val="22"/>
          <w:lang w:eastAsia="en-ZA"/>
        </w:rPr>
        <w:t>Dexamethasone/betamethasone not be included in the PHC EML, but considered for the Adult Hospital level EML.  Not appropriate for initiation at PHC, but should be prescribed by palliative care teams, and accessed at PHC via down-referral mechanisms if necessary.</w:t>
      </w:r>
    </w:p>
    <w:p w:rsidR="00D368E3" w:rsidRPr="00C52208" w:rsidRDefault="00D368E3" w:rsidP="00D368E3">
      <w:pPr>
        <w:spacing w:after="0" w:line="240" w:lineRule="auto"/>
        <w:jc w:val="both"/>
        <w:rPr>
          <w:rFonts w:eastAsia="SimSun" w:cs="Calibri"/>
          <w:b/>
          <w:bCs/>
          <w:noProof/>
          <w:lang w:eastAsia="ja-JP"/>
        </w:rPr>
      </w:pPr>
      <w:r w:rsidRPr="00C52208">
        <w:rPr>
          <w:rFonts w:eastAsia="SimSun" w:cs="Calibri"/>
          <w:b/>
          <w:bCs/>
          <w:noProof/>
          <w:lang w:eastAsia="ja-JP"/>
        </w:rPr>
        <w:t>Level of Evidence: III Expert opinion</w:t>
      </w:r>
    </w:p>
    <w:p w:rsidR="00D368E3" w:rsidRPr="004717B0" w:rsidRDefault="00D368E3" w:rsidP="00D368E3">
      <w:pPr>
        <w:pStyle w:val="ListParagraph"/>
        <w:autoSpaceDE w:val="0"/>
        <w:autoSpaceDN w:val="0"/>
        <w:adjustRightInd w:val="0"/>
        <w:ind w:left="0"/>
        <w:jc w:val="both"/>
        <w:rPr>
          <w:rFonts w:asciiTheme="minorHAnsi" w:hAnsiTheme="minorHAnsi" w:cstheme="minorHAnsi"/>
          <w:bCs/>
          <w:sz w:val="22"/>
          <w:szCs w:val="22"/>
        </w:rPr>
      </w:pPr>
      <w:r w:rsidRPr="004717B0">
        <w:rPr>
          <w:rFonts w:asciiTheme="minorHAnsi" w:hAnsiTheme="minorHAnsi" w:cstheme="minorHAnsi"/>
          <w:bCs/>
          <w:sz w:val="22"/>
          <w:szCs w:val="22"/>
        </w:rPr>
        <w:t>(Note: Medicine review to be forwarded to Adult Hospital level Committee).</w:t>
      </w:r>
    </w:p>
    <w:p w:rsidR="0098743F" w:rsidRPr="004507C5" w:rsidRDefault="0098743F" w:rsidP="00D368E3">
      <w:pPr>
        <w:pStyle w:val="ListParagraph"/>
        <w:autoSpaceDE w:val="0"/>
        <w:autoSpaceDN w:val="0"/>
        <w:adjustRightInd w:val="0"/>
        <w:ind w:left="0"/>
        <w:jc w:val="both"/>
        <w:rPr>
          <w:rFonts w:asciiTheme="minorHAnsi" w:hAnsiTheme="minorHAnsi" w:cstheme="minorHAnsi"/>
          <w:bCs/>
          <w:sz w:val="22"/>
          <w:szCs w:val="22"/>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D368E3" w:rsidRPr="00554428" w:rsidTr="00690390">
        <w:tc>
          <w:tcPr>
            <w:tcW w:w="9242" w:type="dxa"/>
            <w:tcBorders>
              <w:top w:val="double" w:sz="4" w:space="0" w:color="C0C0C0"/>
              <w:left w:val="double" w:sz="4" w:space="0" w:color="C0C0C0"/>
              <w:bottom w:val="double" w:sz="4" w:space="0" w:color="C0C0C0"/>
              <w:right w:val="double" w:sz="4" w:space="0" w:color="C0C0C0"/>
            </w:tcBorders>
          </w:tcPr>
          <w:p w:rsidR="00D368E3" w:rsidRPr="004717B0" w:rsidRDefault="00D368E3" w:rsidP="00D368E3">
            <w:pPr>
              <w:widowControl w:val="0"/>
              <w:autoSpaceDE w:val="0"/>
              <w:autoSpaceDN w:val="0"/>
              <w:adjustRightInd w:val="0"/>
              <w:spacing w:before="120" w:after="120" w:line="240" w:lineRule="auto"/>
              <w:rPr>
                <w:rFonts w:cstheme="minorHAnsi"/>
                <w:b/>
              </w:rPr>
            </w:pPr>
            <w:r>
              <w:rPr>
                <w:rFonts w:cstheme="minorHAnsi"/>
                <w:b/>
              </w:rPr>
              <w:t>ANOREXIA AND CACHEXIA</w:t>
            </w:r>
          </w:p>
        </w:tc>
      </w:tr>
    </w:tbl>
    <w:p w:rsidR="0098743F" w:rsidRDefault="0098743F" w:rsidP="00D368E3">
      <w:pPr>
        <w:pStyle w:val="ListParagraph"/>
        <w:autoSpaceDE w:val="0"/>
        <w:autoSpaceDN w:val="0"/>
        <w:adjustRightInd w:val="0"/>
        <w:ind w:left="0"/>
        <w:jc w:val="both"/>
        <w:rPr>
          <w:rFonts w:asciiTheme="minorHAnsi" w:hAnsiTheme="minorHAnsi" w:cstheme="minorHAnsi"/>
          <w:bCs/>
          <w:i/>
          <w:sz w:val="22"/>
          <w:szCs w:val="22"/>
          <w:lang w:eastAsia="en-ZA"/>
        </w:rPr>
      </w:pPr>
      <w:r w:rsidRPr="004507C5">
        <w:rPr>
          <w:rFonts w:asciiTheme="minorHAnsi" w:hAnsiTheme="minorHAnsi" w:cstheme="minorHAnsi"/>
          <w:bCs/>
          <w:sz w:val="22"/>
          <w:szCs w:val="22"/>
          <w:u w:val="single"/>
          <w:lang w:eastAsia="en-ZA"/>
        </w:rPr>
        <w:t>Betamethasone/dexamethasone, oral:</w:t>
      </w:r>
      <w:r w:rsidRPr="004507C5">
        <w:rPr>
          <w:rFonts w:asciiTheme="minorHAnsi" w:hAnsiTheme="minorHAnsi" w:cstheme="minorHAnsi"/>
          <w:bCs/>
          <w:i/>
          <w:sz w:val="22"/>
          <w:szCs w:val="22"/>
          <w:lang w:eastAsia="en-ZA"/>
        </w:rPr>
        <w:t>not added</w:t>
      </w:r>
    </w:p>
    <w:p w:rsidR="00D368E3" w:rsidRDefault="00D368E3" w:rsidP="00D368E3">
      <w:pPr>
        <w:pStyle w:val="ListParagraph"/>
        <w:autoSpaceDE w:val="0"/>
        <w:autoSpaceDN w:val="0"/>
        <w:adjustRightInd w:val="0"/>
        <w:ind w:left="0"/>
        <w:jc w:val="both"/>
        <w:rPr>
          <w:rFonts w:asciiTheme="minorHAnsi" w:hAnsiTheme="minorHAnsi" w:cstheme="minorHAnsi"/>
          <w:bCs/>
          <w:sz w:val="22"/>
          <w:szCs w:val="22"/>
          <w:lang w:eastAsia="en-ZA"/>
        </w:rPr>
      </w:pPr>
      <w:r>
        <w:rPr>
          <w:rFonts w:asciiTheme="minorHAnsi" w:hAnsiTheme="minorHAnsi" w:cstheme="minorHAnsi"/>
          <w:bCs/>
          <w:sz w:val="22"/>
          <w:szCs w:val="22"/>
          <w:lang w:eastAsia="en-ZA"/>
        </w:rPr>
        <w:t>(Refer to the medicine review for detailed information).</w:t>
      </w:r>
    </w:p>
    <w:p w:rsidR="00D368E3" w:rsidRPr="004507C5" w:rsidRDefault="00D368E3" w:rsidP="00D368E3">
      <w:pPr>
        <w:pStyle w:val="ListParagraph"/>
        <w:autoSpaceDE w:val="0"/>
        <w:autoSpaceDN w:val="0"/>
        <w:adjustRightInd w:val="0"/>
        <w:ind w:left="0"/>
        <w:jc w:val="both"/>
        <w:rPr>
          <w:rFonts w:asciiTheme="minorHAnsi" w:hAnsiTheme="minorHAnsi" w:cstheme="minorHAnsi"/>
          <w:b/>
          <w:bCs/>
          <w:sz w:val="22"/>
          <w:szCs w:val="22"/>
          <w:lang w:eastAsia="en-ZA"/>
        </w:rPr>
      </w:pPr>
    </w:p>
    <w:p w:rsidR="0098743F" w:rsidRPr="004507C5" w:rsidRDefault="0098743F" w:rsidP="00D368E3">
      <w:pPr>
        <w:pStyle w:val="ListParagraph"/>
        <w:autoSpaceDE w:val="0"/>
        <w:autoSpaceDN w:val="0"/>
        <w:adjustRightInd w:val="0"/>
        <w:ind w:left="0"/>
        <w:jc w:val="both"/>
        <w:rPr>
          <w:rFonts w:asciiTheme="minorHAnsi" w:hAnsiTheme="minorHAnsi" w:cstheme="minorHAnsi"/>
          <w:bCs/>
          <w:sz w:val="22"/>
          <w:szCs w:val="22"/>
          <w:lang w:eastAsia="en-ZA"/>
        </w:rPr>
      </w:pPr>
      <w:r w:rsidRPr="004507C5">
        <w:rPr>
          <w:rFonts w:asciiTheme="minorHAnsi" w:hAnsiTheme="minorHAnsi" w:cstheme="minorHAnsi"/>
          <w:bCs/>
          <w:sz w:val="22"/>
          <w:szCs w:val="22"/>
          <w:lang w:eastAsia="en-ZA"/>
        </w:rPr>
        <w:t xml:space="preserve">Similar to use of these medicines in fatigue amongst palliative care patients, there is very limited evidence and medicine is generally used short term use in the terminally ill. </w:t>
      </w:r>
    </w:p>
    <w:p w:rsidR="0098743F" w:rsidRPr="004507C5" w:rsidRDefault="0098743F" w:rsidP="00D368E3">
      <w:pPr>
        <w:pStyle w:val="ListParagraph"/>
        <w:autoSpaceDE w:val="0"/>
        <w:autoSpaceDN w:val="0"/>
        <w:adjustRightInd w:val="0"/>
        <w:ind w:left="0"/>
        <w:jc w:val="both"/>
        <w:rPr>
          <w:rFonts w:asciiTheme="minorHAnsi" w:hAnsiTheme="minorHAnsi" w:cstheme="minorHAnsi"/>
          <w:b/>
          <w:bCs/>
          <w:sz w:val="22"/>
          <w:szCs w:val="22"/>
          <w:lang w:eastAsia="en-ZA"/>
        </w:rPr>
      </w:pPr>
      <w:r w:rsidRPr="004507C5">
        <w:rPr>
          <w:rFonts w:asciiTheme="minorHAnsi" w:hAnsiTheme="minorHAnsi" w:cstheme="minorHAnsi"/>
          <w:b/>
          <w:bCs/>
          <w:sz w:val="22"/>
          <w:szCs w:val="22"/>
          <w:lang w:eastAsia="en-ZA"/>
        </w:rPr>
        <w:t xml:space="preserve">Recommendation: </w:t>
      </w:r>
    </w:p>
    <w:p w:rsidR="0098743F" w:rsidRDefault="0098743F" w:rsidP="00D368E3">
      <w:pPr>
        <w:pStyle w:val="ListParagraph"/>
        <w:numPr>
          <w:ilvl w:val="0"/>
          <w:numId w:val="18"/>
        </w:numPr>
        <w:autoSpaceDE w:val="0"/>
        <w:autoSpaceDN w:val="0"/>
        <w:adjustRightInd w:val="0"/>
        <w:jc w:val="both"/>
        <w:rPr>
          <w:rFonts w:asciiTheme="minorHAnsi" w:hAnsiTheme="minorHAnsi" w:cstheme="minorHAnsi"/>
          <w:bCs/>
          <w:sz w:val="22"/>
          <w:szCs w:val="22"/>
          <w:lang w:eastAsia="en-ZA"/>
        </w:rPr>
      </w:pPr>
      <w:r w:rsidRPr="004507C5">
        <w:rPr>
          <w:rFonts w:asciiTheme="minorHAnsi" w:hAnsiTheme="minorHAnsi" w:cstheme="minorHAnsi"/>
          <w:bCs/>
          <w:sz w:val="22"/>
          <w:szCs w:val="22"/>
          <w:lang w:eastAsia="en-ZA"/>
        </w:rPr>
        <w:t>Dexamethasone/betamethasone not be included in the PHC EML, but considered for the Adult Hospital level EML.  Not appropriate for initiation at PHC, but should be prescribed by palliative care teams, and accessed at PHC via down-referral mechanisms if necessary.</w:t>
      </w:r>
    </w:p>
    <w:p w:rsidR="00D368E3" w:rsidRPr="00C52208" w:rsidRDefault="00D368E3" w:rsidP="00D368E3">
      <w:pPr>
        <w:spacing w:after="0" w:line="240" w:lineRule="auto"/>
        <w:jc w:val="both"/>
        <w:rPr>
          <w:rFonts w:eastAsia="SimSun" w:cs="Calibri"/>
          <w:b/>
          <w:bCs/>
          <w:noProof/>
          <w:lang w:eastAsia="ja-JP"/>
        </w:rPr>
      </w:pPr>
      <w:r w:rsidRPr="00C52208">
        <w:rPr>
          <w:rFonts w:eastAsia="SimSun" w:cs="Calibri"/>
          <w:b/>
          <w:bCs/>
          <w:noProof/>
          <w:lang w:eastAsia="ja-JP"/>
        </w:rPr>
        <w:t>Level of Evidence: III Expert opinion</w:t>
      </w:r>
    </w:p>
    <w:p w:rsidR="00D368E3" w:rsidRPr="004717B0" w:rsidRDefault="00D368E3" w:rsidP="00D368E3">
      <w:pPr>
        <w:pStyle w:val="ListParagraph"/>
        <w:autoSpaceDE w:val="0"/>
        <w:autoSpaceDN w:val="0"/>
        <w:adjustRightInd w:val="0"/>
        <w:ind w:left="0"/>
        <w:jc w:val="both"/>
        <w:rPr>
          <w:rFonts w:asciiTheme="minorHAnsi" w:hAnsiTheme="minorHAnsi" w:cstheme="minorHAnsi"/>
          <w:bCs/>
          <w:sz w:val="22"/>
          <w:szCs w:val="22"/>
        </w:rPr>
      </w:pPr>
      <w:r w:rsidRPr="004717B0">
        <w:rPr>
          <w:rFonts w:asciiTheme="minorHAnsi" w:hAnsiTheme="minorHAnsi" w:cstheme="minorHAnsi"/>
          <w:bCs/>
          <w:sz w:val="22"/>
          <w:szCs w:val="22"/>
        </w:rPr>
        <w:t>(Note: Medicine review to be forwarded to Adult Hospital level Committee).</w:t>
      </w:r>
    </w:p>
    <w:p w:rsidR="0098743F" w:rsidRDefault="0098743F" w:rsidP="00D368E3">
      <w:pPr>
        <w:autoSpaceDE w:val="0"/>
        <w:autoSpaceDN w:val="0"/>
        <w:adjustRightInd w:val="0"/>
        <w:spacing w:after="0" w:line="240" w:lineRule="auto"/>
        <w:jc w:val="both"/>
        <w:rPr>
          <w:rFonts w:cstheme="minorHAnsi"/>
          <w:bCs/>
          <w:color w:val="000000"/>
        </w:rPr>
      </w:pPr>
    </w:p>
    <w:p w:rsidR="00D368E3" w:rsidRPr="00D368E3" w:rsidRDefault="00D368E3" w:rsidP="00D368E3">
      <w:pPr>
        <w:pStyle w:val="ListParagraph"/>
        <w:autoSpaceDE w:val="0"/>
        <w:autoSpaceDN w:val="0"/>
        <w:adjustRightInd w:val="0"/>
        <w:ind w:left="0"/>
        <w:jc w:val="both"/>
        <w:rPr>
          <w:rFonts w:asciiTheme="minorHAnsi" w:hAnsiTheme="minorHAnsi" w:cstheme="minorHAnsi"/>
          <w:bCs/>
          <w:sz w:val="22"/>
          <w:szCs w:val="22"/>
        </w:rPr>
      </w:pPr>
      <w:r w:rsidRPr="00D368E3">
        <w:rPr>
          <w:rFonts w:asciiTheme="minorHAnsi" w:hAnsiTheme="minorHAnsi" w:cstheme="minorHAnsi"/>
          <w:bCs/>
          <w:sz w:val="22"/>
          <w:szCs w:val="22"/>
        </w:rPr>
        <w:t>The PHC Committee identified the need for guidance on mouth care and management of pressure sores in palliation. Evidence pertaining to this will be reviewed, whilst the chapter is being disseminated for external comments.</w:t>
      </w:r>
    </w:p>
    <w:p w:rsidR="00D368E3" w:rsidRDefault="00D368E3" w:rsidP="00D368E3">
      <w:pPr>
        <w:pStyle w:val="ListParagraph"/>
        <w:autoSpaceDE w:val="0"/>
        <w:autoSpaceDN w:val="0"/>
        <w:adjustRightInd w:val="0"/>
        <w:ind w:left="0"/>
        <w:jc w:val="both"/>
        <w:rPr>
          <w:rFonts w:asciiTheme="minorHAnsi" w:hAnsiTheme="minorHAnsi" w:cstheme="minorHAnsi"/>
          <w:b/>
          <w:bCs/>
          <w:sz w:val="22"/>
          <w:szCs w:val="22"/>
        </w:rPr>
      </w:pPr>
    </w:p>
    <w:p w:rsidR="00BD047C" w:rsidRPr="00BD047C" w:rsidRDefault="00BD047C" w:rsidP="00D368E3">
      <w:pPr>
        <w:autoSpaceDE w:val="0"/>
        <w:autoSpaceDN w:val="0"/>
        <w:adjustRightInd w:val="0"/>
        <w:spacing w:after="0" w:line="240" w:lineRule="auto"/>
        <w:jc w:val="both"/>
        <w:rPr>
          <w:rFonts w:cstheme="minorHAnsi"/>
          <w:bCs/>
          <w:color w:val="000000"/>
        </w:rPr>
      </w:pPr>
    </w:p>
    <w:sectPr w:rsidR="00BD047C" w:rsidRPr="00BD047C" w:rsidSect="006E4E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77E" w:rsidRDefault="0094277E" w:rsidP="005C542D">
      <w:pPr>
        <w:spacing w:after="0" w:line="240" w:lineRule="auto"/>
      </w:pPr>
      <w:r>
        <w:separator/>
      </w:r>
    </w:p>
  </w:endnote>
  <w:endnote w:type="continuationSeparator" w:id="1">
    <w:p w:rsidR="0094277E" w:rsidRDefault="0094277E" w:rsidP="005C5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92" w:rsidRDefault="00B619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5137"/>
      <w:docPartObj>
        <w:docPartGallery w:val="Page Numbers (Bottom of Page)"/>
        <w:docPartUnique/>
      </w:docPartObj>
    </w:sdtPr>
    <w:sdtContent>
      <w:p w:rsidR="00B61992" w:rsidRDefault="00B61992">
        <w:pPr>
          <w:pStyle w:val="Footer"/>
          <w:jc w:val="right"/>
        </w:pPr>
        <w:r w:rsidRPr="00B61992">
          <w:t>PHCh22 PalliativeCare_</w:t>
        </w:r>
        <w:r w:rsidR="007E2D1A" w:rsidRPr="00B61992">
          <w:t>R</w:t>
        </w:r>
        <w:r w:rsidR="007E2D1A">
          <w:t>4C</w:t>
        </w:r>
        <w:r w:rsidRPr="00B61992">
          <w:t>_2November2017</w:t>
        </w:r>
        <w:r>
          <w:tab/>
        </w:r>
        <w:r>
          <w:tab/>
        </w:r>
        <w:r w:rsidR="007E02FE">
          <w:fldChar w:fldCharType="begin"/>
        </w:r>
        <w:r>
          <w:instrText xml:space="preserve"> PAGE   \* MERGEFORMAT </w:instrText>
        </w:r>
        <w:r w:rsidR="007E02FE">
          <w:fldChar w:fldCharType="separate"/>
        </w:r>
        <w:r w:rsidR="007E2D1A">
          <w:rPr>
            <w:noProof/>
          </w:rPr>
          <w:t>1</w:t>
        </w:r>
        <w:r w:rsidR="007E02FE">
          <w:fldChar w:fldCharType="end"/>
        </w:r>
      </w:p>
    </w:sdtContent>
  </w:sdt>
  <w:p w:rsidR="00B61992" w:rsidRDefault="00B619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92" w:rsidRDefault="00B61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77E" w:rsidRDefault="0094277E" w:rsidP="005C542D">
      <w:pPr>
        <w:spacing w:after="0" w:line="240" w:lineRule="auto"/>
      </w:pPr>
    </w:p>
  </w:footnote>
  <w:footnote w:type="continuationSeparator" w:id="1">
    <w:p w:rsidR="0094277E" w:rsidRDefault="0094277E" w:rsidP="005C542D">
      <w:pPr>
        <w:spacing w:after="0" w:line="240" w:lineRule="auto"/>
      </w:pPr>
    </w:p>
  </w:footnote>
  <w:footnote w:id="2">
    <w:p w:rsidR="00177DB8" w:rsidRDefault="00177DB8">
      <w:pPr>
        <w:pStyle w:val="FootnoteText"/>
      </w:pPr>
      <w:r>
        <w:rPr>
          <w:rStyle w:val="FootnoteReference"/>
        </w:rPr>
        <w:footnoteRef/>
      </w:r>
      <w:r>
        <w:t xml:space="preserve"> Minutes of the NEMLC meeting of 6 April 2017</w:t>
      </w:r>
    </w:p>
  </w:footnote>
  <w:footnote w:id="3">
    <w:p w:rsidR="00867C42" w:rsidRPr="004D5852" w:rsidRDefault="00867C42" w:rsidP="002626F0">
      <w:pPr>
        <w:pStyle w:val="FootnoteText"/>
        <w:spacing w:after="0" w:line="240" w:lineRule="auto"/>
        <w:rPr>
          <w:sz w:val="16"/>
        </w:rPr>
      </w:pPr>
      <w:r w:rsidRPr="002626F0">
        <w:rPr>
          <w:rStyle w:val="FootnoteReference"/>
          <w:sz w:val="16"/>
        </w:rPr>
        <w:footnoteRef/>
      </w:r>
      <w:r w:rsidRPr="002626F0">
        <w:rPr>
          <w:sz w:val="16"/>
        </w:rPr>
        <w:t>Librach SL, Bouvette M, De Angelis C, Farley J, Oneschuk D, Pereira JL, Syme A; Canadian Consensus Development Group for Constipation in Patients with Advanced Progressive Illness. Consensus recommendations for the management of constipation in patients with advanced, progressive illness. J Pain Symptom Manage. 2010 Nov;40(5):761-73.</w:t>
      </w:r>
      <w:hyperlink r:id="rId1" w:history="1">
        <w:r w:rsidRPr="002626F0">
          <w:rPr>
            <w:rStyle w:val="Hyperlink"/>
            <w:sz w:val="16"/>
          </w:rPr>
          <w:t>https://www.ncbi.nlm.nih.gov/pubmed/21075273</w:t>
        </w:r>
      </w:hyperlink>
    </w:p>
  </w:footnote>
  <w:footnote w:id="4">
    <w:p w:rsidR="00BD047C" w:rsidRPr="00EC28C3" w:rsidRDefault="00BD047C" w:rsidP="00BD047C">
      <w:pPr>
        <w:pStyle w:val="FootnoteText"/>
        <w:spacing w:after="0" w:line="240" w:lineRule="auto"/>
        <w:rPr>
          <w:sz w:val="16"/>
          <w:szCs w:val="16"/>
        </w:rPr>
      </w:pPr>
      <w:r w:rsidRPr="00EC28C3">
        <w:rPr>
          <w:rStyle w:val="FootnoteReference"/>
          <w:sz w:val="16"/>
          <w:szCs w:val="16"/>
        </w:rPr>
        <w:footnoteRef/>
      </w:r>
      <w:r w:rsidRPr="00EC28C3">
        <w:rPr>
          <w:sz w:val="16"/>
          <w:szCs w:val="16"/>
        </w:rPr>
        <w:t xml:space="preserve"> Salt S, Mulvaney CA, Preston NJ. Drug therapy for symptoms associated withanxiety in adult palliative care patients. Cochrane Database Syst Rev. 2017 May 18;5:CD004596. </w:t>
      </w:r>
      <w:hyperlink r:id="rId2" w:history="1">
        <w:r w:rsidRPr="000320CD">
          <w:rPr>
            <w:rStyle w:val="Hyperlink"/>
            <w:rFonts w:ascii="Calibri" w:hAnsi="Calibri" w:cs="Times New Roman"/>
            <w:sz w:val="16"/>
            <w:szCs w:val="16"/>
          </w:rPr>
          <w:t>https://www.ncbi.nlm.nih.gov/pubmed/28521070</w:t>
        </w:r>
      </w:hyperlink>
    </w:p>
  </w:footnote>
  <w:footnote w:id="5">
    <w:p w:rsidR="00877A43" w:rsidRPr="00877A43" w:rsidRDefault="00877A43" w:rsidP="00877A43">
      <w:pPr>
        <w:pStyle w:val="HTMLPreformatted"/>
        <w:rPr>
          <w:rFonts w:asciiTheme="minorHAnsi" w:hAnsiTheme="minorHAnsi" w:cstheme="minorHAnsi"/>
          <w:color w:val="000000"/>
          <w:lang w:val="en-GB" w:eastAsia="en-GB"/>
        </w:rPr>
      </w:pPr>
      <w:r w:rsidRPr="00877A43">
        <w:rPr>
          <w:rStyle w:val="FootnoteReference"/>
          <w:rFonts w:asciiTheme="minorHAnsi" w:hAnsiTheme="minorHAnsi" w:cstheme="minorHAnsi"/>
          <w:sz w:val="16"/>
        </w:rPr>
        <w:footnoteRef/>
      </w:r>
      <w:r w:rsidRPr="00877A43">
        <w:rPr>
          <w:rFonts w:asciiTheme="minorHAnsi" w:hAnsiTheme="minorHAnsi" w:cstheme="minorHAnsi"/>
          <w:color w:val="000000"/>
          <w:sz w:val="16"/>
          <w:lang w:val="en-GB" w:eastAsia="en-GB"/>
        </w:rPr>
        <w:t xml:space="preserve">Candy B, Jackson KC, Jones L, Leurent B, Tookman A, King M. Drug therapy for </w:t>
      </w:r>
      <w:r w:rsidRPr="00877A43">
        <w:rPr>
          <w:rFonts w:asciiTheme="minorHAnsi" w:hAnsiTheme="minorHAnsi" w:cstheme="minorHAnsi"/>
          <w:color w:val="000000"/>
          <w:sz w:val="16"/>
          <w:lang w:eastAsia="en-GB"/>
        </w:rPr>
        <w:t>delirium in terminally ill adult patients. Cochrane Database Syst Rev. 2012 Nov 14;11:CD004770.</w:t>
      </w:r>
      <w:hyperlink r:id="rId3" w:history="1">
        <w:r w:rsidRPr="00877A43">
          <w:rPr>
            <w:rStyle w:val="Hyperlink"/>
            <w:rFonts w:asciiTheme="minorHAnsi" w:hAnsiTheme="minorHAnsi" w:cstheme="minorHAnsi"/>
            <w:sz w:val="16"/>
            <w:lang w:eastAsia="en-GB"/>
          </w:rPr>
          <w:t>https://www.ncbi.nlm.nih.gov/pubmed/23152226</w:t>
        </w:r>
      </w:hyperlink>
    </w:p>
  </w:footnote>
  <w:footnote w:id="6">
    <w:p w:rsidR="003A181D" w:rsidRPr="006328AD" w:rsidRDefault="003A181D" w:rsidP="003A181D">
      <w:pPr>
        <w:pStyle w:val="FootnoteText"/>
        <w:spacing w:after="0" w:line="240" w:lineRule="auto"/>
        <w:rPr>
          <w:sz w:val="16"/>
          <w:szCs w:val="16"/>
        </w:rPr>
      </w:pPr>
      <w:r w:rsidRPr="006328AD">
        <w:rPr>
          <w:rStyle w:val="FootnoteReference"/>
          <w:sz w:val="16"/>
          <w:szCs w:val="16"/>
        </w:rPr>
        <w:footnoteRef/>
      </w:r>
      <w:r w:rsidRPr="006328AD">
        <w:rPr>
          <w:sz w:val="16"/>
          <w:szCs w:val="16"/>
        </w:rPr>
        <w:t>Grassi L, Caraceni A, Mitchell AJ, Nanni MG, Berardi MA, Caruso R, Riba M. Management of delirium in palliative care: a review. Curr Psychiatry Rep. 2015 Mar;17(3):550.</w:t>
      </w:r>
    </w:p>
  </w:footnote>
  <w:footnote w:id="7">
    <w:p w:rsidR="003A181D" w:rsidRPr="006328AD" w:rsidRDefault="003A181D" w:rsidP="003A181D">
      <w:pPr>
        <w:pStyle w:val="FootnoteText"/>
        <w:spacing w:after="0" w:line="240" w:lineRule="auto"/>
        <w:rPr>
          <w:sz w:val="16"/>
          <w:szCs w:val="16"/>
        </w:rPr>
      </w:pPr>
      <w:r w:rsidRPr="006328AD">
        <w:rPr>
          <w:rStyle w:val="FootnoteReference"/>
          <w:sz w:val="16"/>
          <w:szCs w:val="16"/>
        </w:rPr>
        <w:footnoteRef/>
      </w:r>
      <w:r w:rsidRPr="006328AD">
        <w:rPr>
          <w:sz w:val="16"/>
          <w:szCs w:val="16"/>
        </w:rPr>
        <w:t xml:space="preserve"> Crawford GB, Agar M M, Quinn SJ, Phillips J, Litster C, Michael N, Doogue M, Rowett D, Currow DC. Pharmacovigilance in hospice/palliative care: net effect of  haloperidol for delirium. J Palliat Med. 2013 Nov;16(11):1335-41.</w:t>
      </w:r>
    </w:p>
  </w:footnote>
  <w:footnote w:id="8">
    <w:p w:rsidR="003A181D" w:rsidRPr="006328AD" w:rsidRDefault="003A181D" w:rsidP="003A181D">
      <w:pPr>
        <w:pStyle w:val="FootnoteText"/>
        <w:spacing w:after="0" w:line="240" w:lineRule="auto"/>
        <w:rPr>
          <w:sz w:val="16"/>
          <w:szCs w:val="16"/>
        </w:rPr>
      </w:pPr>
      <w:r w:rsidRPr="006328AD">
        <w:rPr>
          <w:rStyle w:val="FootnoteReference"/>
          <w:sz w:val="16"/>
          <w:szCs w:val="16"/>
        </w:rPr>
        <w:footnoteRef/>
      </w:r>
      <w:r w:rsidRPr="006328AD">
        <w:rPr>
          <w:sz w:val="16"/>
          <w:szCs w:val="16"/>
        </w:rPr>
        <w:t xml:space="preserve"> Agar MR, Lawlor PG, Quinn S, Draper B, Caplan GA, Rowett D, Sanderson C, Hardy J, Le B, Eckermann S, McCaffrey N, Devilee L, Fazekas B, Hill M, Currow DC. Efficacy of Oral Risperidone, Haloperidol, or Placebo for Symptoms of Delirium Among Patients in Palliative Care: A Randomized Clinical Trial. JAMA Intern Med.  2017 Jan 1;177(1):34-42. https://www.ncbi.nlm.nih.gov/pubmed/27918778</w:t>
      </w:r>
    </w:p>
  </w:footnote>
  <w:footnote w:id="9">
    <w:p w:rsidR="003A181D" w:rsidRDefault="003A181D" w:rsidP="003A181D">
      <w:pPr>
        <w:pStyle w:val="FootnoteText"/>
        <w:spacing w:after="0" w:line="240" w:lineRule="auto"/>
      </w:pPr>
      <w:r w:rsidRPr="006328AD">
        <w:rPr>
          <w:rStyle w:val="FootnoteReference"/>
          <w:sz w:val="16"/>
          <w:szCs w:val="16"/>
        </w:rPr>
        <w:footnoteRef/>
      </w:r>
      <w:r w:rsidRPr="006328AD">
        <w:rPr>
          <w:sz w:val="16"/>
          <w:szCs w:val="16"/>
        </w:rPr>
        <w:t xml:space="preserve"> Neufeld KJ, Yue J, Robinson TN, Inouye SK, Needham DM. Antipsychotic Medication for Prevention and Treatment of Delirium in Hospitalized Adults: A Systematic Review and Meta-Analysis. J Am Geriatr Soc. 2016 Apr;64(4):705-14. https://www.ncbi.nlm.nih.gov/pubmed/2700473</w:t>
      </w:r>
    </w:p>
  </w:footnote>
  <w:footnote w:id="10">
    <w:p w:rsidR="008E574E" w:rsidRPr="00F614E8" w:rsidRDefault="008E574E" w:rsidP="008E574E">
      <w:pPr>
        <w:pStyle w:val="FootnoteText"/>
        <w:spacing w:after="0" w:line="240" w:lineRule="auto"/>
        <w:rPr>
          <w:sz w:val="16"/>
          <w:szCs w:val="16"/>
        </w:rPr>
      </w:pPr>
      <w:r w:rsidRPr="00F614E8">
        <w:rPr>
          <w:rStyle w:val="FootnoteReference"/>
          <w:sz w:val="16"/>
          <w:szCs w:val="16"/>
        </w:rPr>
        <w:footnoteRef/>
      </w:r>
      <w:r w:rsidRPr="00F614E8">
        <w:rPr>
          <w:sz w:val="16"/>
          <w:szCs w:val="16"/>
        </w:rPr>
        <w:t xml:space="preserve">Grassi L, Caraceni A, Mitchell AJ, Nanni MG, Berardi MA, Caruso R, Riba M. Management of delirium in palliative care: a review. Curr Psychiatry Rep. 2015 Mar;17(3):550. </w:t>
      </w:r>
      <w:hyperlink r:id="rId4" w:history="1">
        <w:r w:rsidRPr="00F614E8">
          <w:rPr>
            <w:rStyle w:val="Hyperlink"/>
            <w:sz w:val="16"/>
            <w:szCs w:val="16"/>
          </w:rPr>
          <w:t>https://www.ncbi.nlm.nih.gov/pubmed/25663153</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92" w:rsidRDefault="00B619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92" w:rsidRDefault="00B619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92" w:rsidRDefault="00B619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35"/>
    <w:multiLevelType w:val="singleLevel"/>
    <w:tmpl w:val="A4CCAB82"/>
    <w:name w:val="WW8Num56"/>
    <w:lvl w:ilvl="0">
      <w:numFmt w:val="bullet"/>
      <w:lvlText w:val=""/>
      <w:lvlJc w:val="left"/>
      <w:pPr>
        <w:tabs>
          <w:tab w:val="num" w:pos="360"/>
        </w:tabs>
        <w:ind w:left="360" w:hanging="360"/>
      </w:pPr>
      <w:rPr>
        <w:rFonts w:ascii="Symbol" w:hAnsi="Symbol"/>
        <w:color w:val="auto"/>
      </w:rPr>
    </w:lvl>
  </w:abstractNum>
  <w:abstractNum w:abstractNumId="2">
    <w:nsid w:val="00F736B1"/>
    <w:multiLevelType w:val="hybridMultilevel"/>
    <w:tmpl w:val="A956E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B3DEB"/>
    <w:multiLevelType w:val="hybridMultilevel"/>
    <w:tmpl w:val="43E644D8"/>
    <w:lvl w:ilvl="0" w:tplc="34BC6ACC">
      <w:numFmt w:val="none"/>
      <w:lvlText w:val="»"/>
      <w:lvlJc w:val="left"/>
      <w:pPr>
        <w:ind w:left="1080" w:hanging="360"/>
      </w:pPr>
      <w:rPr>
        <w:rFonts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5280FFD"/>
    <w:multiLevelType w:val="hybridMultilevel"/>
    <w:tmpl w:val="1EC2712C"/>
    <w:lvl w:ilvl="0" w:tplc="653E97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1C090003">
      <w:start w:val="1"/>
      <w:numFmt w:val="bullet"/>
      <w:lvlText w:val="o"/>
      <w:lvlJc w:val="left"/>
      <w:pPr>
        <w:tabs>
          <w:tab w:val="num" w:pos="1080"/>
        </w:tabs>
        <w:ind w:left="1080" w:hanging="360"/>
      </w:pPr>
      <w:rPr>
        <w:rFonts w:ascii="Courier New" w:hAnsi="Courier New" w:cs="Courier New"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C776F47"/>
    <w:multiLevelType w:val="hybridMultilevel"/>
    <w:tmpl w:val="2EB2C43A"/>
    <w:lvl w:ilvl="0" w:tplc="8642275A">
      <w:start w:val="1"/>
      <w:numFmt w:val="bullet"/>
      <w:lvlText w:val="»"/>
      <w:lvlJc w:val="left"/>
      <w:pPr>
        <w:ind w:left="360" w:hanging="360"/>
      </w:pPr>
      <w:rPr>
        <w:rFonts w:hint="default"/>
        <w:color w:val="000000"/>
        <w:sz w:val="18"/>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CB47BDD"/>
    <w:multiLevelType w:val="hybridMultilevel"/>
    <w:tmpl w:val="6298D0AA"/>
    <w:lvl w:ilvl="0" w:tplc="1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C37F56"/>
    <w:multiLevelType w:val="hybridMultilevel"/>
    <w:tmpl w:val="F6000C60"/>
    <w:lvl w:ilvl="0" w:tplc="BE24DBB0">
      <w:start w:val="1"/>
      <w:numFmt w:val="bullet"/>
      <w:lvlText w:val="o"/>
      <w:lvlJc w:val="left"/>
      <w:pPr>
        <w:tabs>
          <w:tab w:val="num" w:pos="644"/>
        </w:tabs>
        <w:ind w:left="568" w:hanging="284"/>
      </w:pPr>
      <w:rPr>
        <w:rFonts w:ascii="Courier New" w:hAnsi="Courier New" w:hint="default"/>
      </w:rPr>
    </w:lvl>
    <w:lvl w:ilvl="1" w:tplc="12024F30">
      <w:start w:val="1"/>
      <w:numFmt w:val="bullet"/>
      <w:lvlText w:val=""/>
      <w:lvlJc w:val="left"/>
      <w:pPr>
        <w:tabs>
          <w:tab w:val="num" w:pos="644"/>
        </w:tabs>
        <w:ind w:left="568" w:hanging="284"/>
      </w:pPr>
      <w:rPr>
        <w:rFonts w:ascii="Symbol" w:hAnsi="Symbol" w:hint="default"/>
        <w:color w:val="000000"/>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14A07526"/>
    <w:multiLevelType w:val="hybridMultilevel"/>
    <w:tmpl w:val="04DEF044"/>
    <w:lvl w:ilvl="0" w:tplc="34BC6ACC">
      <w:numFmt w:val="none"/>
      <w:lvlText w:val="»"/>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695165"/>
    <w:multiLevelType w:val="hybridMultilevel"/>
    <w:tmpl w:val="C272021E"/>
    <w:lvl w:ilvl="0" w:tplc="34BC6ACC">
      <w:start w:val="1"/>
      <w:numFmt w:val="bullet"/>
      <w:lvlText w:val="»"/>
      <w:lvlJc w:val="left"/>
      <w:pPr>
        <w:ind w:left="360" w:hanging="360"/>
      </w:pPr>
      <w:rPr>
        <w:rFonts w:ascii="Arial" w:hAnsi="Arial" w:hint="default"/>
        <w:b w:val="0"/>
        <w:i w:val="0"/>
        <w:color w:val="000000"/>
        <w:sz w:val="18"/>
      </w:rPr>
    </w:lvl>
    <w:lvl w:ilvl="1" w:tplc="97F6339E"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0">
    <w:nsid w:val="1F357CC3"/>
    <w:multiLevelType w:val="hybridMultilevel"/>
    <w:tmpl w:val="3DC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A4B5F"/>
    <w:multiLevelType w:val="hybridMultilevel"/>
    <w:tmpl w:val="CB481AD2"/>
    <w:lvl w:ilvl="0" w:tplc="08090001">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1DF3314"/>
    <w:multiLevelType w:val="hybridMultilevel"/>
    <w:tmpl w:val="725481D4"/>
    <w:lvl w:ilvl="0" w:tplc="34BC6ACC">
      <w:numFmt w:val="none"/>
      <w:lvlText w:val="»"/>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8155A2"/>
    <w:multiLevelType w:val="hybridMultilevel"/>
    <w:tmpl w:val="CAD84394"/>
    <w:lvl w:ilvl="0" w:tplc="48E00C04">
      <w:start w:val="1"/>
      <w:numFmt w:val="bullet"/>
      <w:lvlText w:val="»"/>
      <w:lvlJc w:val="left"/>
      <w:pPr>
        <w:ind w:left="360" w:hanging="360"/>
      </w:pPr>
      <w:rPr>
        <w:rFonts w:ascii="Arial" w:hAnsi="Arial" w:hint="default"/>
        <w:b w:val="0"/>
        <w:i w:val="0"/>
        <w:color w:val="000000"/>
        <w:sz w:val="18"/>
      </w:rPr>
    </w:lvl>
    <w:lvl w:ilvl="1" w:tplc="D34A6B16">
      <w:numFmt w:val="bullet"/>
      <w:lvlText w:val="•"/>
      <w:lvlJc w:val="left"/>
      <w:pPr>
        <w:ind w:left="1080" w:hanging="360"/>
      </w:pPr>
      <w:rPr>
        <w:rFonts w:ascii="Arial" w:eastAsia="Times New Roman" w:hAnsi="Arial" w:cs="Arial" w:hint="default"/>
        <w:color w:val="231F20"/>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58B01A9"/>
    <w:multiLevelType w:val="hybridMultilevel"/>
    <w:tmpl w:val="B6602B60"/>
    <w:lvl w:ilvl="0" w:tplc="08090001">
      <w:numFmt w:val="none"/>
      <w:lvlText w:val="»"/>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B64605"/>
    <w:multiLevelType w:val="hybridMultilevel"/>
    <w:tmpl w:val="FF18FDA0"/>
    <w:lvl w:ilvl="0" w:tplc="6EFAE522">
      <w:start w:val="1"/>
      <w:numFmt w:val="bullet"/>
      <w:lvlText w:val="o"/>
      <w:lvlJc w:val="left"/>
      <w:pPr>
        <w:ind w:left="720" w:hanging="360"/>
      </w:pPr>
      <w:rPr>
        <w:rFonts w:ascii="Courier New" w:hAnsi="Courier New" w:cs="Courier New" w:hint="default"/>
      </w:rPr>
    </w:lvl>
    <w:lvl w:ilvl="1" w:tplc="9B38307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B3173"/>
    <w:multiLevelType w:val="hybridMultilevel"/>
    <w:tmpl w:val="76249DA8"/>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7">
    <w:nsid w:val="4299309A"/>
    <w:multiLevelType w:val="hybridMultilevel"/>
    <w:tmpl w:val="9830FB48"/>
    <w:lvl w:ilvl="0" w:tplc="1C090001">
      <w:numFmt w:val="none"/>
      <w:lvlText w:val="»"/>
      <w:lvlJc w:val="left"/>
      <w:pPr>
        <w:tabs>
          <w:tab w:val="num" w:pos="360"/>
        </w:tabs>
        <w:ind w:left="360" w:hanging="360"/>
      </w:pPr>
      <w:rPr>
        <w:rFonts w:cs="Times New Roman"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8">
    <w:nsid w:val="495B6E6A"/>
    <w:multiLevelType w:val="hybridMultilevel"/>
    <w:tmpl w:val="6192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7336FC"/>
    <w:multiLevelType w:val="hybridMultilevel"/>
    <w:tmpl w:val="413C1EB4"/>
    <w:lvl w:ilvl="0" w:tplc="89DC60AE">
      <w:start w:val="1"/>
      <w:numFmt w:val="bullet"/>
      <w:lvlText w:val=""/>
      <w:lvlJc w:val="left"/>
      <w:pPr>
        <w:ind w:left="360" w:hanging="360"/>
      </w:pPr>
      <w:rPr>
        <w:rFonts w:ascii="Symbol" w:hAnsi="Symbol" w:hint="default"/>
      </w:rPr>
    </w:lvl>
    <w:lvl w:ilvl="1" w:tplc="08090005"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B14BD6"/>
    <w:multiLevelType w:val="hybridMultilevel"/>
    <w:tmpl w:val="3B14DF8E"/>
    <w:lvl w:ilvl="0" w:tplc="34BC6ACC">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1">
    <w:nsid w:val="5FCF4911"/>
    <w:multiLevelType w:val="hybridMultilevel"/>
    <w:tmpl w:val="CA5A61B6"/>
    <w:lvl w:ilvl="0" w:tplc="EEC82894">
      <w:start w:val="1"/>
      <w:numFmt w:val="bullet"/>
      <w:lvlText w:val=""/>
      <w:lvlJc w:val="left"/>
      <w:pPr>
        <w:ind w:left="360" w:hanging="360"/>
      </w:pPr>
      <w:rPr>
        <w:rFonts w:ascii="Symbol" w:hAnsi="Symbol" w:hint="default"/>
      </w:rPr>
    </w:lvl>
    <w:lvl w:ilvl="1" w:tplc="12F82894"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547C3C"/>
    <w:multiLevelType w:val="hybridMultilevel"/>
    <w:tmpl w:val="78388DE8"/>
    <w:lvl w:ilvl="0" w:tplc="8C6C7ED2">
      <w:start w:val="1"/>
      <w:numFmt w:val="bullet"/>
      <w:lvlText w:val=""/>
      <w:lvlJc w:val="left"/>
      <w:pPr>
        <w:ind w:left="360" w:hanging="360"/>
      </w:pPr>
      <w:rPr>
        <w:rFonts w:ascii="Symbol" w:hAnsi="Symbol" w:hint="default"/>
      </w:rPr>
    </w:lvl>
    <w:lvl w:ilvl="1" w:tplc="B31A81FA">
      <w:start w:val="1"/>
      <w:numFmt w:val="bullet"/>
      <w:lvlText w:val="o"/>
      <w:lvlJc w:val="left"/>
      <w:pPr>
        <w:ind w:left="786" w:hanging="360"/>
      </w:pPr>
      <w:rPr>
        <w:rFonts w:ascii="Courier New" w:hAnsi="Courier New" w:cs="Courier New" w:hint="default"/>
      </w:rPr>
    </w:lvl>
    <w:lvl w:ilvl="2" w:tplc="BBEA75D0" w:tentative="1">
      <w:start w:val="1"/>
      <w:numFmt w:val="bullet"/>
      <w:lvlText w:val=""/>
      <w:lvlJc w:val="left"/>
      <w:pPr>
        <w:ind w:left="1800" w:hanging="360"/>
      </w:pPr>
      <w:rPr>
        <w:rFonts w:ascii="Wingdings" w:hAnsi="Wingdings" w:hint="default"/>
      </w:rPr>
    </w:lvl>
    <w:lvl w:ilvl="3" w:tplc="321E39E2" w:tentative="1">
      <w:start w:val="1"/>
      <w:numFmt w:val="bullet"/>
      <w:lvlText w:val=""/>
      <w:lvlJc w:val="left"/>
      <w:pPr>
        <w:ind w:left="2520" w:hanging="360"/>
      </w:pPr>
      <w:rPr>
        <w:rFonts w:ascii="Symbol" w:hAnsi="Symbol" w:hint="default"/>
      </w:rPr>
    </w:lvl>
    <w:lvl w:ilvl="4" w:tplc="EB6AD4CA" w:tentative="1">
      <w:start w:val="1"/>
      <w:numFmt w:val="bullet"/>
      <w:lvlText w:val="o"/>
      <w:lvlJc w:val="left"/>
      <w:pPr>
        <w:ind w:left="3240" w:hanging="360"/>
      </w:pPr>
      <w:rPr>
        <w:rFonts w:ascii="Courier New" w:hAnsi="Courier New" w:cs="Courier New" w:hint="default"/>
      </w:rPr>
    </w:lvl>
    <w:lvl w:ilvl="5" w:tplc="E996E7C4" w:tentative="1">
      <w:start w:val="1"/>
      <w:numFmt w:val="bullet"/>
      <w:lvlText w:val=""/>
      <w:lvlJc w:val="left"/>
      <w:pPr>
        <w:ind w:left="3960" w:hanging="360"/>
      </w:pPr>
      <w:rPr>
        <w:rFonts w:ascii="Wingdings" w:hAnsi="Wingdings" w:hint="default"/>
      </w:rPr>
    </w:lvl>
    <w:lvl w:ilvl="6" w:tplc="D35299D8" w:tentative="1">
      <w:start w:val="1"/>
      <w:numFmt w:val="bullet"/>
      <w:lvlText w:val=""/>
      <w:lvlJc w:val="left"/>
      <w:pPr>
        <w:ind w:left="4680" w:hanging="360"/>
      </w:pPr>
      <w:rPr>
        <w:rFonts w:ascii="Symbol" w:hAnsi="Symbol" w:hint="default"/>
      </w:rPr>
    </w:lvl>
    <w:lvl w:ilvl="7" w:tplc="A462CAA2" w:tentative="1">
      <w:start w:val="1"/>
      <w:numFmt w:val="bullet"/>
      <w:lvlText w:val="o"/>
      <w:lvlJc w:val="left"/>
      <w:pPr>
        <w:ind w:left="5400" w:hanging="360"/>
      </w:pPr>
      <w:rPr>
        <w:rFonts w:ascii="Courier New" w:hAnsi="Courier New" w:cs="Courier New" w:hint="default"/>
      </w:rPr>
    </w:lvl>
    <w:lvl w:ilvl="8" w:tplc="4072DEB0" w:tentative="1">
      <w:start w:val="1"/>
      <w:numFmt w:val="bullet"/>
      <w:lvlText w:val=""/>
      <w:lvlJc w:val="left"/>
      <w:pPr>
        <w:ind w:left="6120" w:hanging="360"/>
      </w:pPr>
      <w:rPr>
        <w:rFonts w:ascii="Wingdings" w:hAnsi="Wingdings" w:hint="default"/>
      </w:rPr>
    </w:lvl>
  </w:abstractNum>
  <w:abstractNum w:abstractNumId="23">
    <w:nsid w:val="6CDA24C9"/>
    <w:multiLevelType w:val="hybridMultilevel"/>
    <w:tmpl w:val="BFA4AE44"/>
    <w:lvl w:ilvl="0" w:tplc="34BC6ACC">
      <w:numFmt w:val="none"/>
      <w:lvlText w:val="»"/>
      <w:lvlJc w:val="left"/>
      <w:pPr>
        <w:tabs>
          <w:tab w:val="num" w:pos="360"/>
        </w:tabs>
        <w:ind w:left="360" w:hanging="360"/>
      </w:pPr>
      <w:rPr>
        <w:rFonts w:cs="Times New Roman"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nsid w:val="6EDA5F62"/>
    <w:multiLevelType w:val="hybridMultilevel"/>
    <w:tmpl w:val="F118B0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1E653E2"/>
    <w:multiLevelType w:val="hybridMultilevel"/>
    <w:tmpl w:val="BE1AA326"/>
    <w:lvl w:ilvl="0" w:tplc="08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393030"/>
    <w:multiLevelType w:val="hybridMultilevel"/>
    <w:tmpl w:val="454AA6C2"/>
    <w:lvl w:ilvl="0" w:tplc="34BC6A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A65C8B"/>
    <w:multiLevelType w:val="hybridMultilevel"/>
    <w:tmpl w:val="20945992"/>
    <w:lvl w:ilvl="0" w:tplc="34BC6ACC">
      <w:numFmt w:val="none"/>
      <w:lvlText w:val="»"/>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E95EE3"/>
    <w:multiLevelType w:val="hybridMultilevel"/>
    <w:tmpl w:val="F6BC2E08"/>
    <w:lvl w:ilvl="0" w:tplc="1C09000F">
      <w:start w:val="1"/>
      <w:numFmt w:val="bullet"/>
      <w:lvlText w:val=""/>
      <w:lvlJc w:val="left"/>
      <w:pPr>
        <w:ind w:left="360" w:hanging="360"/>
      </w:pPr>
      <w:rPr>
        <w:rFonts w:ascii="Wingdings" w:hAnsi="Wingdings" w:hint="default"/>
      </w:rPr>
    </w:lvl>
    <w:lvl w:ilvl="1" w:tplc="1C090019" w:tentative="1">
      <w:start w:val="1"/>
      <w:numFmt w:val="bullet"/>
      <w:lvlText w:val="o"/>
      <w:lvlJc w:val="left"/>
      <w:pPr>
        <w:ind w:left="1080" w:hanging="360"/>
      </w:pPr>
      <w:rPr>
        <w:rFonts w:ascii="Courier New" w:hAnsi="Courier New" w:cs="Courier New"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Courier New" w:hint="default"/>
      </w:rPr>
    </w:lvl>
    <w:lvl w:ilvl="8" w:tplc="1C09001B"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1"/>
  </w:num>
  <w:num w:numId="4">
    <w:abstractNumId w:val="15"/>
  </w:num>
  <w:num w:numId="5">
    <w:abstractNumId w:val="28"/>
  </w:num>
  <w:num w:numId="6">
    <w:abstractNumId w:val="11"/>
  </w:num>
  <w:num w:numId="7">
    <w:abstractNumId w:val="16"/>
  </w:num>
  <w:num w:numId="8">
    <w:abstractNumId w:val="4"/>
  </w:num>
  <w:num w:numId="9">
    <w:abstractNumId w:val="20"/>
  </w:num>
  <w:num w:numId="10">
    <w:abstractNumId w:val="2"/>
  </w:num>
  <w:num w:numId="11">
    <w:abstractNumId w:val="5"/>
  </w:num>
  <w:num w:numId="12">
    <w:abstractNumId w:val="9"/>
  </w:num>
  <w:num w:numId="13">
    <w:abstractNumId w:val="23"/>
  </w:num>
  <w:num w:numId="14">
    <w:abstractNumId w:val="8"/>
  </w:num>
  <w:num w:numId="15">
    <w:abstractNumId w:val="14"/>
  </w:num>
  <w:num w:numId="16">
    <w:abstractNumId w:val="17"/>
  </w:num>
  <w:num w:numId="17">
    <w:abstractNumId w:val="19"/>
  </w:num>
  <w:num w:numId="18">
    <w:abstractNumId w:val="26"/>
  </w:num>
  <w:num w:numId="19">
    <w:abstractNumId w:val="0"/>
  </w:num>
  <w:num w:numId="20">
    <w:abstractNumId w:val="6"/>
  </w:num>
  <w:num w:numId="21">
    <w:abstractNumId w:val="3"/>
  </w:num>
  <w:num w:numId="22">
    <w:abstractNumId w:val="7"/>
  </w:num>
  <w:num w:numId="23">
    <w:abstractNumId w:val="10"/>
  </w:num>
  <w:num w:numId="24">
    <w:abstractNumId w:val="1"/>
  </w:num>
  <w:num w:numId="25">
    <w:abstractNumId w:val="27"/>
  </w:num>
  <w:num w:numId="26">
    <w:abstractNumId w:val="13"/>
  </w:num>
  <w:num w:numId="27">
    <w:abstractNumId w:val="12"/>
  </w:num>
  <w:num w:numId="28">
    <w:abstractNumId w:val="24"/>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ee">
    <w15:presenceInfo w15:providerId="None" w15:userId="Ren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3E693F"/>
    <w:rsid w:val="000320CD"/>
    <w:rsid w:val="000F3A58"/>
    <w:rsid w:val="0017341E"/>
    <w:rsid w:val="001752E6"/>
    <w:rsid w:val="00177DB8"/>
    <w:rsid w:val="0021685D"/>
    <w:rsid w:val="002620EC"/>
    <w:rsid w:val="002626F0"/>
    <w:rsid w:val="002E5D67"/>
    <w:rsid w:val="003623B8"/>
    <w:rsid w:val="003A181D"/>
    <w:rsid w:val="003C0C09"/>
    <w:rsid w:val="003E693F"/>
    <w:rsid w:val="003F0FF1"/>
    <w:rsid w:val="00460BCF"/>
    <w:rsid w:val="004717B0"/>
    <w:rsid w:val="004A5ED0"/>
    <w:rsid w:val="004E303A"/>
    <w:rsid w:val="004F0F6D"/>
    <w:rsid w:val="00502924"/>
    <w:rsid w:val="005118E2"/>
    <w:rsid w:val="00560E11"/>
    <w:rsid w:val="00593DED"/>
    <w:rsid w:val="005C542D"/>
    <w:rsid w:val="00614B31"/>
    <w:rsid w:val="00695188"/>
    <w:rsid w:val="006D0892"/>
    <w:rsid w:val="006E4E20"/>
    <w:rsid w:val="00782F03"/>
    <w:rsid w:val="007B17D1"/>
    <w:rsid w:val="007E02FE"/>
    <w:rsid w:val="007E2D1A"/>
    <w:rsid w:val="00827D48"/>
    <w:rsid w:val="008328EA"/>
    <w:rsid w:val="00867C42"/>
    <w:rsid w:val="00877A43"/>
    <w:rsid w:val="00882339"/>
    <w:rsid w:val="00894D12"/>
    <w:rsid w:val="008A540C"/>
    <w:rsid w:val="008E574E"/>
    <w:rsid w:val="0094277E"/>
    <w:rsid w:val="00963E4F"/>
    <w:rsid w:val="0098743F"/>
    <w:rsid w:val="009C445F"/>
    <w:rsid w:val="009C6787"/>
    <w:rsid w:val="00A03767"/>
    <w:rsid w:val="00B45225"/>
    <w:rsid w:val="00B4771F"/>
    <w:rsid w:val="00B61992"/>
    <w:rsid w:val="00BD047C"/>
    <w:rsid w:val="00D368E3"/>
    <w:rsid w:val="00D50A6D"/>
    <w:rsid w:val="00DE5C78"/>
    <w:rsid w:val="00DF5363"/>
    <w:rsid w:val="00EE2A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20"/>
  </w:style>
  <w:style w:type="paragraph" w:styleId="Heading2">
    <w:name w:val="heading 2"/>
    <w:basedOn w:val="Normal"/>
    <w:next w:val="Normal"/>
    <w:link w:val="Heading2Char"/>
    <w:uiPriority w:val="99"/>
    <w:qFormat/>
    <w:rsid w:val="0098743F"/>
    <w:pPr>
      <w:widowControl w:val="0"/>
      <w:numPr>
        <w:ilvl w:val="1"/>
        <w:numId w:val="19"/>
      </w:numPr>
      <w:suppressAutoHyphens/>
      <w:spacing w:after="0" w:line="240" w:lineRule="auto"/>
      <w:jc w:val="both"/>
      <w:outlineLvl w:val="1"/>
    </w:pPr>
    <w:rPr>
      <w:rFonts w:ascii="Arial" w:eastAsia="Times New Roman" w:hAnsi="Arial" w:cs="Times New Roman"/>
      <w:b/>
      <w:bCs/>
      <w:szCs w:val="24"/>
      <w:lang w:val="en-ZA" w:eastAsia="ar-SA"/>
    </w:rPr>
  </w:style>
  <w:style w:type="paragraph" w:styleId="Heading3">
    <w:name w:val="heading 3"/>
    <w:basedOn w:val="Normal"/>
    <w:next w:val="Normal"/>
    <w:link w:val="Heading3Char"/>
    <w:uiPriority w:val="99"/>
    <w:qFormat/>
    <w:rsid w:val="0098743F"/>
    <w:pPr>
      <w:keepNext/>
      <w:numPr>
        <w:ilvl w:val="2"/>
        <w:numId w:val="19"/>
      </w:numPr>
      <w:shd w:val="clear" w:color="auto" w:fill="E6E6E6"/>
      <w:suppressAutoHyphens/>
      <w:spacing w:after="0" w:line="240" w:lineRule="auto"/>
      <w:jc w:val="both"/>
      <w:outlineLvl w:val="2"/>
    </w:pPr>
    <w:rPr>
      <w:rFonts w:ascii="Arial" w:eastAsia="Times New Roman" w:hAnsi="Arial" w:cs="Times New Roman"/>
      <w:b/>
      <w:bCs/>
      <w:caps/>
      <w:szCs w:val="24"/>
      <w:lang w:val="en-ZA" w:eastAsia="ar-SA"/>
    </w:rPr>
  </w:style>
  <w:style w:type="paragraph" w:styleId="Heading5">
    <w:name w:val="heading 5"/>
    <w:basedOn w:val="Normal"/>
    <w:next w:val="Normal"/>
    <w:link w:val="Heading5Char"/>
    <w:uiPriority w:val="99"/>
    <w:qFormat/>
    <w:rsid w:val="0098743F"/>
    <w:pPr>
      <w:keepNext/>
      <w:numPr>
        <w:ilvl w:val="4"/>
        <w:numId w:val="19"/>
      </w:numPr>
      <w:suppressAutoHyphens/>
      <w:spacing w:after="0" w:line="240" w:lineRule="auto"/>
      <w:outlineLvl w:val="4"/>
    </w:pPr>
    <w:rPr>
      <w:rFonts w:ascii="Arial" w:eastAsia="Times New Roman" w:hAnsi="Arial" w:cs="Times New Roman"/>
      <w:b/>
      <w:bCs/>
      <w:caps/>
      <w:szCs w:val="24"/>
      <w:lang w:val="en-ZA" w:eastAsia="ar-SA"/>
    </w:rPr>
  </w:style>
  <w:style w:type="paragraph" w:styleId="Heading6">
    <w:name w:val="heading 6"/>
    <w:basedOn w:val="Normal"/>
    <w:next w:val="Normal"/>
    <w:link w:val="Heading6Char"/>
    <w:uiPriority w:val="99"/>
    <w:qFormat/>
    <w:rsid w:val="0098743F"/>
    <w:pPr>
      <w:keepNext/>
      <w:numPr>
        <w:ilvl w:val="5"/>
        <w:numId w:val="19"/>
      </w:numPr>
      <w:suppressAutoHyphens/>
      <w:spacing w:after="100" w:line="240" w:lineRule="auto"/>
      <w:outlineLvl w:val="5"/>
    </w:pPr>
    <w:rPr>
      <w:rFonts w:ascii="Arial" w:eastAsia="Times New Roman" w:hAnsi="Arial" w:cs="Times New Roman"/>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2D"/>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5C542D"/>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5C542D"/>
    <w:rPr>
      <w:rFonts w:ascii="Calibri" w:eastAsia="Calibri" w:hAnsi="Calibri" w:cs="Times New Roman"/>
      <w:sz w:val="20"/>
      <w:szCs w:val="20"/>
      <w:lang w:val="en-ZA"/>
    </w:rPr>
  </w:style>
  <w:style w:type="character" w:customStyle="1" w:styleId="FootnoteTextChar">
    <w:name w:val="Footnote Text Char"/>
    <w:basedOn w:val="DefaultParagraphFont"/>
    <w:link w:val="FootnoteText"/>
    <w:uiPriority w:val="99"/>
    <w:rsid w:val="005C542D"/>
    <w:rPr>
      <w:rFonts w:ascii="Calibri" w:eastAsia="Calibri" w:hAnsi="Calibri" w:cs="Times New Roman"/>
      <w:sz w:val="20"/>
      <w:szCs w:val="20"/>
      <w:lang w:val="en-ZA"/>
    </w:rPr>
  </w:style>
  <w:style w:type="character" w:styleId="FootnoteReference">
    <w:name w:val="footnote reference"/>
    <w:uiPriority w:val="99"/>
    <w:rsid w:val="005C542D"/>
    <w:rPr>
      <w:rFonts w:cs="Times New Roman"/>
      <w:vertAlign w:val="superscript"/>
    </w:rPr>
  </w:style>
  <w:style w:type="paragraph" w:customStyle="1" w:styleId="Level1">
    <w:name w:val="Level 1"/>
    <w:basedOn w:val="Normal"/>
    <w:link w:val="Level1Char"/>
    <w:rsid w:val="005C542D"/>
    <w:pPr>
      <w:widowControl w:val="0"/>
      <w:autoSpaceDE w:val="0"/>
      <w:autoSpaceDN w:val="0"/>
      <w:adjustRightInd w:val="0"/>
      <w:spacing w:after="0" w:line="240" w:lineRule="auto"/>
      <w:ind w:left="333" w:hanging="170"/>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5C5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5C542D"/>
    <w:rPr>
      <w:rFonts w:ascii="Courier New" w:eastAsia="Times New Roman" w:hAnsi="Courier New" w:cs="Courier New"/>
      <w:sz w:val="20"/>
      <w:szCs w:val="20"/>
      <w:lang w:val="en-ZA" w:eastAsia="en-ZA"/>
    </w:rPr>
  </w:style>
  <w:style w:type="character" w:customStyle="1" w:styleId="Level1Char">
    <w:name w:val="Level 1 Char"/>
    <w:link w:val="Level1"/>
    <w:rsid w:val="005C542D"/>
    <w:rPr>
      <w:rFonts w:ascii="Times New Roman" w:eastAsia="Times New Roman" w:hAnsi="Times New Roman" w:cs="Times New Roman"/>
      <w:sz w:val="24"/>
      <w:szCs w:val="24"/>
      <w:lang w:val="en-US"/>
    </w:rPr>
  </w:style>
  <w:style w:type="character" w:styleId="Hyperlink">
    <w:name w:val="Hyperlink"/>
    <w:uiPriority w:val="99"/>
    <w:rsid w:val="0098743F"/>
    <w:rPr>
      <w:rFonts w:ascii="Arial" w:hAnsi="Arial" w:cs="Arial"/>
      <w:color w:val="1122CC"/>
      <w:u w:val="none"/>
      <w:effect w:val="none"/>
    </w:rPr>
  </w:style>
  <w:style w:type="character" w:customStyle="1" w:styleId="Heading2Char">
    <w:name w:val="Heading 2 Char"/>
    <w:basedOn w:val="DefaultParagraphFont"/>
    <w:link w:val="Heading2"/>
    <w:uiPriority w:val="99"/>
    <w:rsid w:val="0098743F"/>
    <w:rPr>
      <w:rFonts w:ascii="Arial" w:eastAsia="Times New Roman" w:hAnsi="Arial" w:cs="Times New Roman"/>
      <w:b/>
      <w:bCs/>
      <w:szCs w:val="24"/>
      <w:lang w:val="en-ZA" w:eastAsia="ar-SA"/>
    </w:rPr>
  </w:style>
  <w:style w:type="character" w:customStyle="1" w:styleId="Heading3Char">
    <w:name w:val="Heading 3 Char"/>
    <w:basedOn w:val="DefaultParagraphFont"/>
    <w:link w:val="Heading3"/>
    <w:uiPriority w:val="99"/>
    <w:rsid w:val="0098743F"/>
    <w:rPr>
      <w:rFonts w:ascii="Arial" w:eastAsia="Times New Roman" w:hAnsi="Arial" w:cs="Times New Roman"/>
      <w:b/>
      <w:bCs/>
      <w:caps/>
      <w:szCs w:val="24"/>
      <w:shd w:val="clear" w:color="auto" w:fill="E6E6E6"/>
      <w:lang w:val="en-ZA" w:eastAsia="ar-SA"/>
    </w:rPr>
  </w:style>
  <w:style w:type="character" w:customStyle="1" w:styleId="Heading5Char">
    <w:name w:val="Heading 5 Char"/>
    <w:basedOn w:val="DefaultParagraphFont"/>
    <w:link w:val="Heading5"/>
    <w:uiPriority w:val="99"/>
    <w:rsid w:val="0098743F"/>
    <w:rPr>
      <w:rFonts w:ascii="Arial" w:eastAsia="Times New Roman" w:hAnsi="Arial" w:cs="Times New Roman"/>
      <w:b/>
      <w:bCs/>
      <w:caps/>
      <w:szCs w:val="24"/>
      <w:lang w:val="en-ZA" w:eastAsia="ar-SA"/>
    </w:rPr>
  </w:style>
  <w:style w:type="character" w:customStyle="1" w:styleId="Heading6Char">
    <w:name w:val="Heading 6 Char"/>
    <w:basedOn w:val="DefaultParagraphFont"/>
    <w:link w:val="Heading6"/>
    <w:uiPriority w:val="99"/>
    <w:rsid w:val="0098743F"/>
    <w:rPr>
      <w:rFonts w:ascii="Arial" w:eastAsia="Times New Roman" w:hAnsi="Arial" w:cs="Times New Roman"/>
      <w:b/>
      <w:bCs/>
      <w:szCs w:val="24"/>
      <w:lang w:eastAsia="ar-SA"/>
    </w:rPr>
  </w:style>
  <w:style w:type="paragraph" w:customStyle="1" w:styleId="head2">
    <w:name w:val="head2"/>
    <w:rsid w:val="0098743F"/>
    <w:pPr>
      <w:spacing w:after="0" w:line="180" w:lineRule="exact"/>
    </w:pPr>
    <w:rPr>
      <w:rFonts w:ascii="Arial" w:eastAsia="Times New Roman" w:hAnsi="Arial" w:cs="Times New Roman"/>
      <w:b/>
      <w:sz w:val="18"/>
      <w:szCs w:val="20"/>
      <w:lang w:val="en-ZA"/>
    </w:rPr>
  </w:style>
  <w:style w:type="paragraph" w:styleId="BodyText2">
    <w:name w:val="Body Text 2"/>
    <w:basedOn w:val="Normal"/>
    <w:link w:val="BodyText2Char"/>
    <w:rsid w:val="0098743F"/>
    <w:pPr>
      <w:spacing w:after="0" w:line="240" w:lineRule="auto"/>
    </w:pPr>
    <w:rPr>
      <w:rFonts w:ascii="Arial" w:eastAsia="Times New Roman" w:hAnsi="Arial" w:cs="Times New Roman"/>
      <w:bCs/>
      <w:sz w:val="18"/>
      <w:szCs w:val="24"/>
    </w:rPr>
  </w:style>
  <w:style w:type="character" w:customStyle="1" w:styleId="BodyText2Char">
    <w:name w:val="Body Text 2 Char"/>
    <w:basedOn w:val="DefaultParagraphFont"/>
    <w:link w:val="BodyText2"/>
    <w:rsid w:val="0098743F"/>
    <w:rPr>
      <w:rFonts w:ascii="Arial" w:eastAsia="Times New Roman" w:hAnsi="Arial" w:cs="Times New Roman"/>
      <w:bCs/>
      <w:sz w:val="18"/>
      <w:szCs w:val="24"/>
    </w:rPr>
  </w:style>
  <w:style w:type="paragraph" w:styleId="CommentText">
    <w:name w:val="annotation text"/>
    <w:basedOn w:val="Normal"/>
    <w:link w:val="CommentTextChar"/>
    <w:rsid w:val="0098743F"/>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98743F"/>
    <w:rPr>
      <w:rFonts w:ascii="Arial" w:eastAsia="Times New Roman" w:hAnsi="Arial" w:cs="Times New Roman"/>
      <w:sz w:val="20"/>
      <w:szCs w:val="20"/>
      <w:lang w:val="en-US"/>
    </w:rPr>
  </w:style>
  <w:style w:type="paragraph" w:customStyle="1" w:styleId="Default">
    <w:name w:val="Default"/>
    <w:rsid w:val="0098743F"/>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EndnoteText">
    <w:name w:val="endnote text"/>
    <w:basedOn w:val="Normal"/>
    <w:link w:val="EndnoteTextChar"/>
    <w:uiPriority w:val="99"/>
    <w:semiHidden/>
    <w:unhideWhenUsed/>
    <w:rsid w:val="00177D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7DB8"/>
    <w:rPr>
      <w:sz w:val="20"/>
      <w:szCs w:val="20"/>
    </w:rPr>
  </w:style>
  <w:style w:type="character" w:styleId="EndnoteReference">
    <w:name w:val="endnote reference"/>
    <w:basedOn w:val="DefaultParagraphFont"/>
    <w:uiPriority w:val="99"/>
    <w:semiHidden/>
    <w:unhideWhenUsed/>
    <w:rsid w:val="00177DB8"/>
    <w:rPr>
      <w:vertAlign w:val="superscript"/>
    </w:rPr>
  </w:style>
  <w:style w:type="paragraph" w:styleId="Header">
    <w:name w:val="header"/>
    <w:basedOn w:val="Normal"/>
    <w:link w:val="HeaderChar"/>
    <w:uiPriority w:val="99"/>
    <w:semiHidden/>
    <w:unhideWhenUsed/>
    <w:rsid w:val="00B619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1992"/>
  </w:style>
  <w:style w:type="paragraph" w:styleId="Footer">
    <w:name w:val="footer"/>
    <w:basedOn w:val="Normal"/>
    <w:link w:val="FooterChar"/>
    <w:uiPriority w:val="99"/>
    <w:unhideWhenUsed/>
    <w:rsid w:val="00B61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992"/>
  </w:style>
</w:styles>
</file>

<file path=word/webSettings.xml><?xml version="1.0" encoding="utf-8"?>
<w:webSettings xmlns:r="http://schemas.openxmlformats.org/officeDocument/2006/relationships" xmlns:w="http://schemas.openxmlformats.org/wordprocessingml/2006/main">
  <w:divs>
    <w:div w:id="12358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23152226" TargetMode="External"/><Relationship Id="rId2" Type="http://schemas.openxmlformats.org/officeDocument/2006/relationships/hyperlink" Target="https://www.ncbi.nlm.nih.gov/pubmed/28521070" TargetMode="External"/><Relationship Id="rId1" Type="http://schemas.openxmlformats.org/officeDocument/2006/relationships/hyperlink" Target="https://www.ncbi.nlm.nih.gov/pubmed/21075273" TargetMode="External"/><Relationship Id="rId4" Type="http://schemas.openxmlformats.org/officeDocument/2006/relationships/hyperlink" Target="https://www.ncbi.nlm.nih.gov/pubmed/25663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1FEB-2DC9-4463-8FFE-B7D73C1F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Trudy</dc:creator>
  <cp:lastModifiedBy>Trudy</cp:lastModifiedBy>
  <cp:revision>4</cp:revision>
  <dcterms:created xsi:type="dcterms:W3CDTF">2017-10-30T06:49:00Z</dcterms:created>
  <dcterms:modified xsi:type="dcterms:W3CDTF">2017-11-08T09:07:00Z</dcterms:modified>
</cp:coreProperties>
</file>