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87" w:rsidRPr="009540C8" w:rsidRDefault="003E7435" w:rsidP="00FC100C">
      <w:pPr>
        <w:spacing w:before="360" w:after="240"/>
        <w:jc w:val="both"/>
        <w:rPr>
          <w:rFonts w:ascii="Arial" w:hAnsi="Arial" w:cs="Arial"/>
        </w:rPr>
      </w:pPr>
      <w:r>
        <w:rPr>
          <w:rFonts w:ascii="Arial" w:hAnsi="Arial" w:cs="Arial"/>
          <w:b/>
          <w:strike/>
          <w:noProof/>
          <w:sz w:val="52"/>
          <w:szCs w:val="52"/>
          <w:lang w:val="en-US"/>
        </w:rPr>
        <w:drawing>
          <wp:anchor distT="0" distB="0" distL="114300" distR="114300" simplePos="0" relativeHeight="251659264" behindDoc="0" locked="0" layoutInCell="1" allowOverlap="1">
            <wp:simplePos x="0" y="0"/>
            <wp:positionH relativeFrom="column">
              <wp:posOffset>1904365</wp:posOffset>
            </wp:positionH>
            <wp:positionV relativeFrom="paragraph">
              <wp:posOffset>126365</wp:posOffset>
            </wp:positionV>
            <wp:extent cx="2468880" cy="923925"/>
            <wp:effectExtent l="19050" t="0" r="762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68880" cy="923925"/>
                    </a:xfrm>
                    <a:prstGeom prst="rect">
                      <a:avLst/>
                    </a:prstGeom>
                    <a:noFill/>
                    <a:ln w="9525">
                      <a:noFill/>
                      <a:miter lim="800000"/>
                      <a:headEnd/>
                      <a:tailEnd/>
                    </a:ln>
                  </pic:spPr>
                </pic:pic>
              </a:graphicData>
            </a:graphic>
          </wp:anchor>
        </w:drawing>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0"/>
      </w:tblGrid>
      <w:tr w:rsidR="00760E87" w:rsidRPr="00126E4C" w:rsidTr="00FC100C">
        <w:tc>
          <w:tcPr>
            <w:tcW w:w="9810" w:type="dxa"/>
          </w:tcPr>
          <w:p w:rsidR="00AC2D5C" w:rsidRDefault="00760E87" w:rsidP="00FC100C">
            <w:pPr>
              <w:spacing w:before="120" w:after="120"/>
              <w:jc w:val="both"/>
              <w:rPr>
                <w:rFonts w:ascii="Arial" w:hAnsi="Arial" w:cs="Arial"/>
                <w:b/>
                <w:bCs/>
                <w:sz w:val="36"/>
                <w:szCs w:val="36"/>
              </w:rPr>
            </w:pPr>
            <w:r w:rsidRPr="00126E4C">
              <w:rPr>
                <w:rFonts w:ascii="Arial" w:hAnsi="Arial" w:cs="Arial"/>
                <w:b/>
                <w:bCs/>
                <w:sz w:val="36"/>
                <w:szCs w:val="36"/>
              </w:rPr>
              <w:t xml:space="preserve">POST-MARKETING </w:t>
            </w:r>
            <w:r w:rsidR="009F1E31" w:rsidRPr="000B347F">
              <w:rPr>
                <w:rFonts w:ascii="Arial" w:hAnsi="Arial" w:cs="Arial"/>
                <w:b/>
                <w:bCs/>
                <w:sz w:val="36"/>
                <w:szCs w:val="36"/>
              </w:rPr>
              <w:t>REPORTING</w:t>
            </w:r>
            <w:r w:rsidR="00C44F62" w:rsidRPr="000B347F">
              <w:rPr>
                <w:rFonts w:ascii="Arial" w:hAnsi="Arial" w:cs="Arial"/>
                <w:b/>
                <w:bCs/>
                <w:sz w:val="36"/>
                <w:szCs w:val="36"/>
              </w:rPr>
              <w:t xml:space="preserve"> OF</w:t>
            </w:r>
            <w:r w:rsidR="00436A8D">
              <w:rPr>
                <w:rFonts w:ascii="Arial" w:hAnsi="Arial" w:cs="Arial"/>
                <w:b/>
                <w:bCs/>
                <w:sz w:val="36"/>
                <w:szCs w:val="36"/>
              </w:rPr>
              <w:t xml:space="preserve"> </w:t>
            </w:r>
            <w:r w:rsidRPr="00126E4C">
              <w:rPr>
                <w:rFonts w:ascii="Arial" w:hAnsi="Arial" w:cs="Arial"/>
                <w:b/>
                <w:bCs/>
                <w:sz w:val="36"/>
                <w:szCs w:val="36"/>
              </w:rPr>
              <w:t>ADVERSE DRUG REACTIONS TO</w:t>
            </w:r>
            <w:r w:rsidR="00436A8D">
              <w:rPr>
                <w:rFonts w:ascii="Arial" w:hAnsi="Arial" w:cs="Arial"/>
                <w:b/>
                <w:bCs/>
                <w:sz w:val="36"/>
                <w:szCs w:val="36"/>
              </w:rPr>
              <w:t xml:space="preserve"> </w:t>
            </w:r>
            <w:r w:rsidRPr="00126E4C">
              <w:rPr>
                <w:rFonts w:ascii="Arial" w:hAnsi="Arial" w:cs="Arial"/>
                <w:b/>
                <w:bCs/>
                <w:sz w:val="36"/>
                <w:szCs w:val="36"/>
              </w:rPr>
              <w:t>HUMAN MEDICIN</w:t>
            </w:r>
            <w:r w:rsidR="009F1E31" w:rsidRPr="000B347F">
              <w:rPr>
                <w:rFonts w:ascii="Arial" w:hAnsi="Arial" w:cs="Arial"/>
                <w:b/>
                <w:bCs/>
                <w:sz w:val="36"/>
                <w:szCs w:val="36"/>
              </w:rPr>
              <w:t>ES</w:t>
            </w:r>
            <w:r w:rsidR="00436A8D">
              <w:rPr>
                <w:rFonts w:ascii="Arial" w:hAnsi="Arial" w:cs="Arial"/>
                <w:b/>
                <w:bCs/>
                <w:sz w:val="36"/>
                <w:szCs w:val="36"/>
              </w:rPr>
              <w:t xml:space="preserve"> </w:t>
            </w:r>
            <w:r w:rsidRPr="00126E4C">
              <w:rPr>
                <w:rFonts w:ascii="Arial" w:hAnsi="Arial" w:cs="Arial"/>
                <w:b/>
                <w:bCs/>
                <w:sz w:val="36"/>
                <w:szCs w:val="36"/>
              </w:rPr>
              <w:t>IN SOUTH AFRICA</w:t>
            </w:r>
          </w:p>
        </w:tc>
      </w:tr>
    </w:tbl>
    <w:p w:rsidR="000B347F" w:rsidRPr="000B347F" w:rsidRDefault="000B347F" w:rsidP="003E28DD">
      <w:pPr>
        <w:spacing w:before="120" w:after="120"/>
        <w:rPr>
          <w:rFonts w:ascii="Arial" w:hAnsi="Arial" w:cs="Arial"/>
          <w:b/>
          <w:bCs/>
          <w:strike/>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923"/>
      </w:tblGrid>
      <w:tr w:rsidR="00760E87" w:rsidTr="00B14432">
        <w:tc>
          <w:tcPr>
            <w:tcW w:w="9923" w:type="dxa"/>
          </w:tcPr>
          <w:p w:rsidR="00760E87" w:rsidRDefault="00760E87" w:rsidP="00445D21">
            <w:pPr>
              <w:spacing w:before="240"/>
              <w:ind w:left="284" w:right="284"/>
              <w:jc w:val="both"/>
              <w:rPr>
                <w:rFonts w:ascii="Arial" w:hAnsi="Arial"/>
                <w:sz w:val="16"/>
              </w:rPr>
            </w:pPr>
            <w:r w:rsidRPr="006D587C">
              <w:rPr>
                <w:rFonts w:ascii="Arial" w:hAnsi="Arial"/>
                <w:sz w:val="16"/>
              </w:rPr>
              <w:t>This document has been prepared to serve as a guideline to those reporting adverse drug reactions.</w:t>
            </w:r>
            <w:r w:rsidR="00436A8D">
              <w:rPr>
                <w:rFonts w:ascii="Arial" w:hAnsi="Arial"/>
                <w:sz w:val="16"/>
              </w:rPr>
              <w:t xml:space="preserve"> </w:t>
            </w:r>
            <w:r>
              <w:rPr>
                <w:rFonts w:ascii="Arial" w:hAnsi="Arial"/>
                <w:sz w:val="16"/>
              </w:rPr>
              <w:t xml:space="preserve"> It represents </w:t>
            </w:r>
            <w:r w:rsidR="00FC100C">
              <w:rPr>
                <w:rFonts w:ascii="Arial" w:hAnsi="Arial"/>
                <w:sz w:val="16"/>
              </w:rPr>
              <w:t xml:space="preserve">the </w:t>
            </w:r>
            <w:r w:rsidR="007E0905">
              <w:rPr>
                <w:rFonts w:ascii="Arial" w:hAnsi="Arial"/>
                <w:sz w:val="16"/>
              </w:rPr>
              <w:t>S</w:t>
            </w:r>
            <w:r w:rsidR="00FC100C">
              <w:rPr>
                <w:rFonts w:ascii="Arial" w:hAnsi="Arial"/>
                <w:sz w:val="16"/>
              </w:rPr>
              <w:t xml:space="preserve">outh </w:t>
            </w:r>
            <w:r w:rsidR="007E0905">
              <w:rPr>
                <w:rFonts w:ascii="Arial" w:hAnsi="Arial"/>
                <w:sz w:val="16"/>
              </w:rPr>
              <w:t>A</w:t>
            </w:r>
            <w:r w:rsidR="00FC100C">
              <w:rPr>
                <w:rFonts w:ascii="Arial" w:hAnsi="Arial"/>
                <w:sz w:val="16"/>
              </w:rPr>
              <w:t xml:space="preserve">frican </w:t>
            </w:r>
            <w:r w:rsidR="007E0905">
              <w:rPr>
                <w:rFonts w:ascii="Arial" w:hAnsi="Arial"/>
                <w:sz w:val="16"/>
              </w:rPr>
              <w:t>H</w:t>
            </w:r>
            <w:r w:rsidR="00FC100C">
              <w:rPr>
                <w:rFonts w:ascii="Arial" w:hAnsi="Arial"/>
                <w:sz w:val="16"/>
              </w:rPr>
              <w:t xml:space="preserve">ealth </w:t>
            </w:r>
            <w:r w:rsidR="007E0905">
              <w:rPr>
                <w:rFonts w:ascii="Arial" w:hAnsi="Arial"/>
                <w:sz w:val="16"/>
              </w:rPr>
              <w:t>P</w:t>
            </w:r>
            <w:r w:rsidR="00FC100C">
              <w:rPr>
                <w:rFonts w:ascii="Arial" w:hAnsi="Arial"/>
                <w:sz w:val="16"/>
              </w:rPr>
              <w:t xml:space="preserve">roducts </w:t>
            </w:r>
            <w:r w:rsidR="007E0905">
              <w:rPr>
                <w:rFonts w:ascii="Arial" w:hAnsi="Arial"/>
                <w:sz w:val="16"/>
              </w:rPr>
              <w:t>R</w:t>
            </w:r>
            <w:r w:rsidR="00FC100C">
              <w:rPr>
                <w:rFonts w:ascii="Arial" w:hAnsi="Arial"/>
                <w:sz w:val="16"/>
              </w:rPr>
              <w:t xml:space="preserve">egulatory </w:t>
            </w:r>
            <w:r w:rsidR="007E0905">
              <w:rPr>
                <w:rFonts w:ascii="Arial" w:hAnsi="Arial"/>
                <w:sz w:val="16"/>
              </w:rPr>
              <w:t>A</w:t>
            </w:r>
            <w:r w:rsidR="00FC100C">
              <w:rPr>
                <w:rFonts w:ascii="Arial" w:hAnsi="Arial"/>
                <w:sz w:val="16"/>
              </w:rPr>
              <w:t>uthority’s</w:t>
            </w:r>
            <w:r w:rsidR="007E0905">
              <w:rPr>
                <w:rFonts w:ascii="Arial" w:hAnsi="Arial"/>
                <w:sz w:val="16"/>
              </w:rPr>
              <w:t xml:space="preserve"> </w:t>
            </w:r>
            <w:r>
              <w:rPr>
                <w:rFonts w:ascii="Arial" w:hAnsi="Arial"/>
                <w:sz w:val="16"/>
              </w:rPr>
              <w:t xml:space="preserve">current thinking on the safety, quality and efficacy of medicines.  It is not intended as an exclusive approach.  </w:t>
            </w:r>
            <w:r w:rsidR="00FC100C">
              <w:rPr>
                <w:rFonts w:ascii="Arial" w:hAnsi="Arial"/>
                <w:sz w:val="16"/>
              </w:rPr>
              <w:t>The Authority</w:t>
            </w:r>
            <w:r w:rsidR="00436A8D">
              <w:rPr>
                <w:rFonts w:ascii="Arial" w:hAnsi="Arial"/>
                <w:sz w:val="16"/>
              </w:rPr>
              <w:t xml:space="preserve"> </w:t>
            </w:r>
            <w:r>
              <w:rPr>
                <w:rFonts w:ascii="Arial" w:hAnsi="Arial"/>
                <w:sz w:val="16"/>
              </w:rPr>
              <w:t>reserves the right to request any additional information to establish the safety, quality and efficacy of a medicine</w:t>
            </w:r>
            <w:r w:rsidR="003E7435">
              <w:rPr>
                <w:rFonts w:ascii="Arial" w:hAnsi="Arial"/>
                <w:sz w:val="16"/>
              </w:rPr>
              <w:t xml:space="preserve"> </w:t>
            </w:r>
            <w:r>
              <w:rPr>
                <w:rFonts w:ascii="Arial" w:hAnsi="Arial"/>
                <w:sz w:val="16"/>
              </w:rPr>
              <w:t>and may make amendments</w:t>
            </w:r>
            <w:r w:rsidR="003E7435">
              <w:rPr>
                <w:rFonts w:ascii="Arial" w:hAnsi="Arial"/>
                <w:sz w:val="16"/>
              </w:rPr>
              <w:t xml:space="preserve"> </w:t>
            </w:r>
            <w:r>
              <w:rPr>
                <w:rFonts w:ascii="Arial" w:hAnsi="Arial"/>
                <w:sz w:val="16"/>
              </w:rPr>
              <w:t xml:space="preserve">in keeping with the </w:t>
            </w:r>
            <w:r w:rsidR="001B7F0A" w:rsidRPr="00541C7C">
              <w:rPr>
                <w:rFonts w:ascii="Arial" w:hAnsi="Arial"/>
                <w:color w:val="000000"/>
                <w:sz w:val="16"/>
              </w:rPr>
              <w:t>knowledge</w:t>
            </w:r>
            <w:r w:rsidRPr="006D587C">
              <w:rPr>
                <w:rFonts w:ascii="Arial" w:hAnsi="Arial"/>
                <w:sz w:val="16"/>
              </w:rPr>
              <w:t xml:space="preserve"> which is current at the time of consideration of safety data</w:t>
            </w:r>
            <w:r>
              <w:rPr>
                <w:rFonts w:ascii="Arial" w:hAnsi="Arial"/>
                <w:sz w:val="16"/>
              </w:rPr>
              <w:t xml:space="preserve">.  </w:t>
            </w:r>
          </w:p>
          <w:p w:rsidR="00760E87" w:rsidRDefault="00760E87" w:rsidP="00445D21">
            <w:pPr>
              <w:ind w:left="284" w:right="284"/>
              <w:jc w:val="both"/>
              <w:rPr>
                <w:rFonts w:ascii="Arial" w:hAnsi="Arial"/>
                <w:sz w:val="16"/>
              </w:rPr>
            </w:pPr>
          </w:p>
          <w:p w:rsidR="00760E87" w:rsidRDefault="00760E87" w:rsidP="00FC100C">
            <w:pPr>
              <w:spacing w:after="120"/>
              <w:ind w:left="284" w:right="284"/>
              <w:jc w:val="both"/>
              <w:rPr>
                <w:rFonts w:ascii="Arial" w:hAnsi="Arial"/>
                <w:sz w:val="16"/>
              </w:rPr>
            </w:pPr>
            <w:r>
              <w:rPr>
                <w:rFonts w:ascii="Arial" w:hAnsi="Arial"/>
                <w:sz w:val="16"/>
              </w:rPr>
              <w:t xml:space="preserve">Guidelines and application forms are available from the office of </w:t>
            </w:r>
            <w:r w:rsidR="00B91D8D">
              <w:rPr>
                <w:rFonts w:ascii="Arial" w:hAnsi="Arial"/>
                <w:sz w:val="16"/>
              </w:rPr>
              <w:t xml:space="preserve">the </w:t>
            </w:r>
            <w:r w:rsidR="00FC100C">
              <w:rPr>
                <w:rFonts w:ascii="Arial" w:hAnsi="Arial"/>
                <w:sz w:val="16"/>
              </w:rPr>
              <w:t>CEO</w:t>
            </w:r>
            <w:r w:rsidR="003E7435">
              <w:rPr>
                <w:rFonts w:ascii="Arial" w:hAnsi="Arial"/>
                <w:sz w:val="16"/>
              </w:rPr>
              <w:t xml:space="preserve"> </w:t>
            </w:r>
            <w:r w:rsidR="00B91D8D">
              <w:rPr>
                <w:rFonts w:ascii="Arial" w:hAnsi="Arial"/>
                <w:sz w:val="16"/>
              </w:rPr>
              <w:t xml:space="preserve">and SAHPRA </w:t>
            </w:r>
            <w:r>
              <w:rPr>
                <w:rFonts w:ascii="Arial" w:hAnsi="Arial"/>
                <w:sz w:val="16"/>
              </w:rPr>
              <w:t>website</w:t>
            </w:r>
            <w:r w:rsidR="00910F32">
              <w:rPr>
                <w:rFonts w:ascii="Arial" w:hAnsi="Arial"/>
                <w:sz w:val="16"/>
              </w:rPr>
              <w:t>.</w:t>
            </w:r>
          </w:p>
        </w:tc>
      </w:tr>
    </w:tbl>
    <w:p w:rsidR="003B3E71" w:rsidRDefault="003B3E71" w:rsidP="00236718">
      <w:pPr>
        <w:rPr>
          <w:rFonts w:ascii="Arial" w:hAnsi="Arial"/>
        </w:rPr>
      </w:pPr>
    </w:p>
    <w:p w:rsidR="003B3E71" w:rsidRDefault="003B3E71" w:rsidP="00236718">
      <w:pPr>
        <w:rPr>
          <w:rFonts w:ascii="Arial" w:hAnsi="Arial"/>
        </w:rPr>
      </w:pPr>
    </w:p>
    <w:tbl>
      <w:tblPr>
        <w:tblW w:w="9923"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85" w:type="dxa"/>
          <w:right w:w="85" w:type="dxa"/>
        </w:tblCellMar>
        <w:tblLook w:val="0000" w:firstRow="0" w:lastRow="0" w:firstColumn="0" w:lastColumn="0" w:noHBand="0" w:noVBand="0"/>
      </w:tblPr>
      <w:tblGrid>
        <w:gridCol w:w="8080"/>
        <w:gridCol w:w="1843"/>
      </w:tblGrid>
      <w:tr w:rsidR="00760E87" w:rsidRPr="00E06B1A" w:rsidTr="00F463B6">
        <w:tc>
          <w:tcPr>
            <w:tcW w:w="8080" w:type="dxa"/>
            <w:tcBorders>
              <w:top w:val="double" w:sz="4" w:space="0" w:color="auto"/>
            </w:tcBorders>
          </w:tcPr>
          <w:p w:rsidR="00760E87" w:rsidRPr="0079676B" w:rsidRDefault="00760E87" w:rsidP="00723B6D">
            <w:pPr>
              <w:widowControl/>
              <w:spacing w:before="120" w:after="40" w:line="280" w:lineRule="atLeast"/>
              <w:ind w:left="170" w:right="284"/>
              <w:jc w:val="both"/>
              <w:rPr>
                <w:rFonts w:ascii="Arial" w:hAnsi="Arial"/>
                <w:sz w:val="20"/>
              </w:rPr>
            </w:pPr>
            <w:r w:rsidRPr="0079676B">
              <w:rPr>
                <w:rFonts w:ascii="Arial" w:hAnsi="Arial"/>
                <w:sz w:val="20"/>
              </w:rPr>
              <w:t xml:space="preserve">Version 1 </w:t>
            </w:r>
            <w:r w:rsidR="00102737">
              <w:rPr>
                <w:rFonts w:ascii="Arial" w:hAnsi="Arial"/>
                <w:sz w:val="20"/>
              </w:rPr>
              <w:t>(2.11)</w:t>
            </w:r>
          </w:p>
        </w:tc>
        <w:tc>
          <w:tcPr>
            <w:tcW w:w="1843" w:type="dxa"/>
            <w:tcBorders>
              <w:top w:val="double" w:sz="4" w:space="0" w:color="auto"/>
            </w:tcBorders>
          </w:tcPr>
          <w:p w:rsidR="00760E87" w:rsidRPr="0079676B" w:rsidRDefault="00760E87" w:rsidP="00723B6D">
            <w:pPr>
              <w:widowControl/>
              <w:spacing w:before="120" w:after="40" w:line="280" w:lineRule="atLeast"/>
              <w:ind w:right="170"/>
              <w:jc w:val="right"/>
              <w:rPr>
                <w:rFonts w:ascii="Arial" w:hAnsi="Arial"/>
                <w:sz w:val="20"/>
              </w:rPr>
            </w:pPr>
            <w:r w:rsidRPr="0079676B">
              <w:rPr>
                <w:rFonts w:ascii="Arial" w:hAnsi="Arial"/>
                <w:sz w:val="20"/>
              </w:rPr>
              <w:t>2003</w:t>
            </w:r>
          </w:p>
        </w:tc>
      </w:tr>
      <w:tr w:rsidR="00760E87" w:rsidRPr="00CA2588" w:rsidTr="00F463B6">
        <w:tc>
          <w:tcPr>
            <w:tcW w:w="8080" w:type="dxa"/>
          </w:tcPr>
          <w:p w:rsidR="00760E87" w:rsidRPr="0079676B" w:rsidRDefault="00760E87" w:rsidP="00CA2588">
            <w:pPr>
              <w:widowControl/>
              <w:spacing w:before="60" w:after="40"/>
              <w:ind w:left="567" w:right="284"/>
              <w:jc w:val="both"/>
              <w:rPr>
                <w:rFonts w:ascii="Arial" w:hAnsi="Arial"/>
                <w:sz w:val="20"/>
              </w:rPr>
            </w:pPr>
            <w:r w:rsidRPr="0079676B">
              <w:rPr>
                <w:rFonts w:ascii="Arial" w:hAnsi="Arial"/>
                <w:sz w:val="20"/>
              </w:rPr>
              <w:t>Date for implementation</w:t>
            </w:r>
          </w:p>
        </w:tc>
        <w:tc>
          <w:tcPr>
            <w:tcW w:w="1843" w:type="dxa"/>
          </w:tcPr>
          <w:p w:rsidR="00760E87" w:rsidRPr="0079676B" w:rsidRDefault="00760E87" w:rsidP="00723B6D">
            <w:pPr>
              <w:widowControl/>
              <w:spacing w:before="60" w:after="40"/>
              <w:ind w:right="170"/>
              <w:jc w:val="right"/>
              <w:rPr>
                <w:rFonts w:ascii="Arial" w:hAnsi="Arial"/>
                <w:sz w:val="20"/>
              </w:rPr>
            </w:pPr>
            <w:r w:rsidRPr="0079676B">
              <w:rPr>
                <w:rFonts w:ascii="Arial" w:hAnsi="Arial"/>
                <w:sz w:val="20"/>
              </w:rPr>
              <w:t>May 2003</w:t>
            </w:r>
          </w:p>
        </w:tc>
      </w:tr>
      <w:tr w:rsidR="00760E87" w:rsidRPr="00CA2588" w:rsidTr="00F463B6">
        <w:tc>
          <w:tcPr>
            <w:tcW w:w="8080" w:type="dxa"/>
          </w:tcPr>
          <w:p w:rsidR="00760E87" w:rsidRPr="0079676B" w:rsidRDefault="00760E87" w:rsidP="00723B6D">
            <w:pPr>
              <w:widowControl/>
              <w:spacing w:before="60" w:after="40"/>
              <w:ind w:left="170" w:right="284"/>
              <w:jc w:val="both"/>
              <w:rPr>
                <w:rFonts w:ascii="Arial" w:hAnsi="Arial"/>
                <w:sz w:val="20"/>
              </w:rPr>
            </w:pPr>
            <w:r>
              <w:rPr>
                <w:rFonts w:ascii="Arial" w:hAnsi="Arial"/>
                <w:sz w:val="20"/>
              </w:rPr>
              <w:t>Version1_1: Formatted, contact details updated</w:t>
            </w:r>
          </w:p>
        </w:tc>
        <w:tc>
          <w:tcPr>
            <w:tcW w:w="1843" w:type="dxa"/>
          </w:tcPr>
          <w:p w:rsidR="00760E87" w:rsidRPr="0079676B" w:rsidRDefault="00760E87" w:rsidP="00723B6D">
            <w:pPr>
              <w:widowControl/>
              <w:spacing w:before="60" w:after="40"/>
              <w:ind w:right="170"/>
              <w:jc w:val="right"/>
              <w:rPr>
                <w:rFonts w:ascii="Arial" w:hAnsi="Arial"/>
                <w:sz w:val="20"/>
              </w:rPr>
            </w:pPr>
            <w:r>
              <w:rPr>
                <w:rFonts w:ascii="Arial" w:hAnsi="Arial"/>
                <w:sz w:val="20"/>
              </w:rPr>
              <w:t>October 2010</w:t>
            </w:r>
          </w:p>
        </w:tc>
      </w:tr>
      <w:tr w:rsidR="00760E87" w:rsidRPr="00E06B1A" w:rsidTr="00F463B6">
        <w:tc>
          <w:tcPr>
            <w:tcW w:w="8080" w:type="dxa"/>
          </w:tcPr>
          <w:p w:rsidR="00760E87" w:rsidRPr="0079676B" w:rsidRDefault="00760E87" w:rsidP="00723B6D">
            <w:pPr>
              <w:widowControl/>
              <w:spacing w:before="60" w:after="40"/>
              <w:ind w:left="170" w:right="284"/>
              <w:rPr>
                <w:rFonts w:ascii="Arial" w:hAnsi="Arial"/>
                <w:sz w:val="20"/>
              </w:rPr>
            </w:pPr>
            <w:r w:rsidRPr="0079676B">
              <w:rPr>
                <w:rFonts w:ascii="Arial" w:hAnsi="Arial"/>
                <w:sz w:val="20"/>
              </w:rPr>
              <w:t>Version 2</w:t>
            </w:r>
          </w:p>
        </w:tc>
        <w:tc>
          <w:tcPr>
            <w:tcW w:w="1843" w:type="dxa"/>
          </w:tcPr>
          <w:p w:rsidR="00760E87" w:rsidRPr="0079676B" w:rsidRDefault="00760E87" w:rsidP="00723B6D">
            <w:pPr>
              <w:widowControl/>
              <w:spacing w:before="60" w:after="40"/>
              <w:ind w:right="170"/>
              <w:jc w:val="right"/>
              <w:rPr>
                <w:rFonts w:ascii="Arial" w:hAnsi="Arial"/>
                <w:sz w:val="20"/>
              </w:rPr>
            </w:pPr>
            <w:r>
              <w:rPr>
                <w:rFonts w:ascii="Arial" w:hAnsi="Arial"/>
                <w:sz w:val="20"/>
              </w:rPr>
              <w:t>June</w:t>
            </w:r>
            <w:r w:rsidRPr="0079676B">
              <w:rPr>
                <w:rFonts w:ascii="Arial" w:hAnsi="Arial"/>
                <w:sz w:val="20"/>
              </w:rPr>
              <w:t xml:space="preserve"> 201</w:t>
            </w:r>
            <w:r>
              <w:rPr>
                <w:rFonts w:ascii="Arial" w:hAnsi="Arial"/>
                <w:sz w:val="20"/>
              </w:rPr>
              <w:t>1</w:t>
            </w:r>
          </w:p>
        </w:tc>
      </w:tr>
      <w:tr w:rsidR="00760E87" w:rsidRPr="00E06B1A" w:rsidTr="00F463B6">
        <w:tc>
          <w:tcPr>
            <w:tcW w:w="8080" w:type="dxa"/>
          </w:tcPr>
          <w:p w:rsidR="00760E87" w:rsidRPr="0079676B" w:rsidRDefault="00760E87" w:rsidP="002106B6">
            <w:pPr>
              <w:widowControl/>
              <w:spacing w:before="60" w:after="40"/>
              <w:ind w:left="567" w:right="284"/>
              <w:jc w:val="both"/>
              <w:rPr>
                <w:rFonts w:ascii="Arial" w:hAnsi="Arial"/>
                <w:sz w:val="20"/>
              </w:rPr>
            </w:pPr>
            <w:r>
              <w:rPr>
                <w:rFonts w:ascii="Arial" w:hAnsi="Arial"/>
                <w:sz w:val="20"/>
              </w:rPr>
              <w:t>Date for implementation</w:t>
            </w:r>
            <w:r w:rsidR="00C5040A">
              <w:rPr>
                <w:rFonts w:ascii="Arial" w:hAnsi="Arial"/>
                <w:sz w:val="20"/>
              </w:rPr>
              <w:t xml:space="preserve"> (2.33)</w:t>
            </w:r>
          </w:p>
        </w:tc>
        <w:tc>
          <w:tcPr>
            <w:tcW w:w="1843" w:type="dxa"/>
          </w:tcPr>
          <w:p w:rsidR="00760E87" w:rsidRDefault="00760E87" w:rsidP="00275A9D">
            <w:pPr>
              <w:widowControl/>
              <w:spacing w:before="60" w:after="40"/>
              <w:ind w:right="170"/>
              <w:jc w:val="right"/>
              <w:rPr>
                <w:rFonts w:ascii="Arial" w:hAnsi="Arial"/>
                <w:sz w:val="20"/>
              </w:rPr>
            </w:pPr>
            <w:r>
              <w:rPr>
                <w:rFonts w:ascii="Arial" w:hAnsi="Arial"/>
                <w:sz w:val="20"/>
              </w:rPr>
              <w:t>December 2012</w:t>
            </w:r>
          </w:p>
        </w:tc>
      </w:tr>
      <w:tr w:rsidR="00C5040A" w:rsidRPr="002E5DB7" w:rsidTr="00F463B6">
        <w:tc>
          <w:tcPr>
            <w:tcW w:w="8080" w:type="dxa"/>
          </w:tcPr>
          <w:p w:rsidR="00110192" w:rsidRPr="002E5DB7" w:rsidRDefault="00110192" w:rsidP="00723B6D">
            <w:pPr>
              <w:widowControl/>
              <w:spacing w:before="60" w:after="40"/>
              <w:ind w:left="170" w:right="170"/>
              <w:rPr>
                <w:rFonts w:ascii="Arial" w:hAnsi="Arial"/>
                <w:sz w:val="20"/>
              </w:rPr>
            </w:pPr>
            <w:r w:rsidRPr="002E5DB7">
              <w:rPr>
                <w:rFonts w:ascii="Arial" w:hAnsi="Arial"/>
                <w:sz w:val="20"/>
              </w:rPr>
              <w:t xml:space="preserve">Version </w:t>
            </w:r>
            <w:r w:rsidR="0055494C" w:rsidRPr="002E5DB7">
              <w:rPr>
                <w:rFonts w:ascii="Arial" w:hAnsi="Arial"/>
                <w:sz w:val="20"/>
              </w:rPr>
              <w:t>3</w:t>
            </w:r>
            <w:r w:rsidR="00C5040A" w:rsidRPr="002E5DB7">
              <w:rPr>
                <w:rFonts w:ascii="Arial" w:hAnsi="Arial"/>
                <w:sz w:val="20"/>
              </w:rPr>
              <w:t>:</w:t>
            </w:r>
            <w:r w:rsidRPr="002E5DB7">
              <w:rPr>
                <w:rFonts w:ascii="Arial" w:hAnsi="Arial"/>
                <w:sz w:val="20"/>
              </w:rPr>
              <w:t xml:space="preserve"> Change in </w:t>
            </w:r>
            <w:r w:rsidR="00B14432" w:rsidRPr="002E5DB7">
              <w:rPr>
                <w:rFonts w:ascii="Arial" w:hAnsi="Arial"/>
                <w:sz w:val="20"/>
              </w:rPr>
              <w:t xml:space="preserve">5.1 (ii) </w:t>
            </w:r>
            <w:r w:rsidRPr="002E5DB7">
              <w:rPr>
                <w:rFonts w:ascii="Arial" w:hAnsi="Arial"/>
                <w:sz w:val="20"/>
              </w:rPr>
              <w:t>data lock point, addition of template</w:t>
            </w:r>
            <w:r w:rsidR="00B14432" w:rsidRPr="002E5DB7">
              <w:rPr>
                <w:rFonts w:ascii="Arial" w:hAnsi="Arial"/>
                <w:sz w:val="20"/>
              </w:rPr>
              <w:t xml:space="preserve"> for summary report</w:t>
            </w:r>
          </w:p>
        </w:tc>
        <w:tc>
          <w:tcPr>
            <w:tcW w:w="1843" w:type="dxa"/>
          </w:tcPr>
          <w:p w:rsidR="00110192" w:rsidRPr="002E5DB7" w:rsidRDefault="00110192" w:rsidP="00723B6D">
            <w:pPr>
              <w:widowControl/>
              <w:spacing w:before="60" w:after="60"/>
              <w:ind w:right="170"/>
              <w:jc w:val="right"/>
              <w:rPr>
                <w:rFonts w:ascii="Arial" w:hAnsi="Arial"/>
                <w:sz w:val="20"/>
              </w:rPr>
            </w:pPr>
            <w:r w:rsidRPr="002E5DB7">
              <w:rPr>
                <w:rFonts w:ascii="Arial" w:hAnsi="Arial"/>
                <w:sz w:val="20"/>
              </w:rPr>
              <w:t>August 2014</w:t>
            </w:r>
          </w:p>
        </w:tc>
      </w:tr>
      <w:tr w:rsidR="00790AE7" w:rsidRPr="002E5DB7" w:rsidTr="00F463B6">
        <w:tc>
          <w:tcPr>
            <w:tcW w:w="8080" w:type="dxa"/>
          </w:tcPr>
          <w:p w:rsidR="00790AE7" w:rsidRPr="002E5DB7" w:rsidRDefault="00790AE7" w:rsidP="002106B6">
            <w:pPr>
              <w:widowControl/>
              <w:spacing w:before="60" w:after="40"/>
              <w:ind w:left="170" w:right="170"/>
              <w:rPr>
                <w:rFonts w:ascii="Arial" w:hAnsi="Arial"/>
                <w:sz w:val="20"/>
              </w:rPr>
            </w:pPr>
            <w:r>
              <w:rPr>
                <w:rFonts w:ascii="Arial" w:hAnsi="Arial"/>
                <w:sz w:val="20"/>
              </w:rPr>
              <w:t xml:space="preserve">Version 4: </w:t>
            </w:r>
            <w:r w:rsidR="00FA0EA8">
              <w:rPr>
                <w:rFonts w:ascii="Arial" w:hAnsi="Arial"/>
                <w:sz w:val="20"/>
              </w:rPr>
              <w:t>Due date for comment</w:t>
            </w:r>
          </w:p>
        </w:tc>
        <w:tc>
          <w:tcPr>
            <w:tcW w:w="1843" w:type="dxa"/>
          </w:tcPr>
          <w:p w:rsidR="00790AE7" w:rsidRPr="00FA0EA8" w:rsidRDefault="00FA0EA8" w:rsidP="00723B6D">
            <w:pPr>
              <w:widowControl/>
              <w:spacing w:before="60" w:after="60"/>
              <w:ind w:right="170"/>
              <w:jc w:val="right"/>
              <w:rPr>
                <w:rFonts w:ascii="Arial" w:hAnsi="Arial"/>
                <w:sz w:val="20"/>
              </w:rPr>
            </w:pPr>
            <w:r w:rsidRPr="00FA0EA8">
              <w:rPr>
                <w:rFonts w:ascii="Arial" w:hAnsi="Arial"/>
                <w:sz w:val="20"/>
              </w:rPr>
              <w:t xml:space="preserve">18 Dec </w:t>
            </w:r>
            <w:r w:rsidR="00790AE7" w:rsidRPr="00FA0EA8">
              <w:rPr>
                <w:rFonts w:ascii="Arial" w:hAnsi="Arial"/>
                <w:sz w:val="20"/>
              </w:rPr>
              <w:t>2015</w:t>
            </w:r>
          </w:p>
        </w:tc>
      </w:tr>
      <w:tr w:rsidR="008E3EDE" w:rsidRPr="008E3EDE" w:rsidTr="00BF7F96">
        <w:tc>
          <w:tcPr>
            <w:tcW w:w="8080" w:type="dxa"/>
          </w:tcPr>
          <w:p w:rsidR="008E3EDE" w:rsidRPr="008E3EDE" w:rsidRDefault="008E3EDE" w:rsidP="00BF7F96">
            <w:pPr>
              <w:widowControl/>
              <w:spacing w:before="60" w:after="40"/>
              <w:ind w:left="170" w:right="170"/>
              <w:rPr>
                <w:rFonts w:ascii="Arial" w:hAnsi="Arial"/>
                <w:sz w:val="20"/>
              </w:rPr>
            </w:pPr>
            <w:r w:rsidRPr="008E3EDE">
              <w:rPr>
                <w:rFonts w:ascii="Arial" w:hAnsi="Arial"/>
                <w:sz w:val="20"/>
              </w:rPr>
              <w:t>Version 4: Change in title, published for implementation</w:t>
            </w:r>
          </w:p>
        </w:tc>
        <w:tc>
          <w:tcPr>
            <w:tcW w:w="1843" w:type="dxa"/>
          </w:tcPr>
          <w:p w:rsidR="008E3EDE" w:rsidRPr="008E3EDE" w:rsidRDefault="008E3EDE" w:rsidP="00BF7F96">
            <w:pPr>
              <w:widowControl/>
              <w:spacing w:before="60" w:after="60"/>
              <w:ind w:right="170"/>
              <w:jc w:val="right"/>
              <w:rPr>
                <w:rFonts w:ascii="Arial" w:hAnsi="Arial"/>
                <w:sz w:val="20"/>
              </w:rPr>
            </w:pPr>
            <w:r w:rsidRPr="008E3EDE">
              <w:rPr>
                <w:rFonts w:ascii="Arial" w:hAnsi="Arial"/>
                <w:sz w:val="20"/>
              </w:rPr>
              <w:t>September 2016</w:t>
            </w:r>
          </w:p>
        </w:tc>
      </w:tr>
      <w:tr w:rsidR="00D53E4C" w:rsidRPr="006A1579" w:rsidTr="00F463B6">
        <w:tc>
          <w:tcPr>
            <w:tcW w:w="8080" w:type="dxa"/>
          </w:tcPr>
          <w:p w:rsidR="00D53E4C" w:rsidRPr="006A1579" w:rsidRDefault="00D53E4C" w:rsidP="002106B6">
            <w:pPr>
              <w:widowControl/>
              <w:spacing w:before="60" w:after="40"/>
              <w:ind w:left="170" w:right="170"/>
              <w:rPr>
                <w:rFonts w:ascii="Arial" w:hAnsi="Arial"/>
                <w:sz w:val="20"/>
              </w:rPr>
            </w:pPr>
            <w:r>
              <w:rPr>
                <w:rFonts w:ascii="Arial" w:hAnsi="Arial"/>
                <w:sz w:val="20"/>
              </w:rPr>
              <w:t>Version 4.1 A</w:t>
            </w:r>
            <w:r w:rsidRPr="006A1579">
              <w:rPr>
                <w:rFonts w:ascii="Arial" w:hAnsi="Arial"/>
                <w:sz w:val="20"/>
              </w:rPr>
              <w:t>dministrative corrections</w:t>
            </w:r>
          </w:p>
        </w:tc>
        <w:tc>
          <w:tcPr>
            <w:tcW w:w="1843" w:type="dxa"/>
          </w:tcPr>
          <w:p w:rsidR="00D53E4C" w:rsidRPr="006A1579" w:rsidRDefault="00D53E4C" w:rsidP="00723B6D">
            <w:pPr>
              <w:widowControl/>
              <w:spacing w:before="60" w:after="60"/>
              <w:ind w:right="170"/>
              <w:jc w:val="right"/>
              <w:rPr>
                <w:rFonts w:ascii="Arial" w:hAnsi="Arial"/>
                <w:sz w:val="20"/>
              </w:rPr>
            </w:pPr>
            <w:r w:rsidRPr="006A1579">
              <w:rPr>
                <w:rFonts w:ascii="Arial" w:hAnsi="Arial"/>
                <w:sz w:val="20"/>
              </w:rPr>
              <w:t>November 2016</w:t>
            </w:r>
          </w:p>
        </w:tc>
      </w:tr>
      <w:tr w:rsidR="002106B6" w:rsidRPr="00D61D10" w:rsidTr="00F463B6">
        <w:tc>
          <w:tcPr>
            <w:tcW w:w="8080" w:type="dxa"/>
          </w:tcPr>
          <w:p w:rsidR="002106B6" w:rsidRPr="00D61D10" w:rsidRDefault="00FC2536" w:rsidP="00D53E4C">
            <w:pPr>
              <w:widowControl/>
              <w:spacing w:before="60" w:after="40"/>
              <w:ind w:left="170" w:right="170"/>
              <w:rPr>
                <w:rFonts w:ascii="Arial" w:hAnsi="Arial"/>
                <w:sz w:val="20"/>
              </w:rPr>
            </w:pPr>
            <w:r w:rsidRPr="00D61D10">
              <w:rPr>
                <w:rFonts w:ascii="Arial" w:hAnsi="Arial"/>
                <w:sz w:val="20"/>
              </w:rPr>
              <w:t>Version 5: Change in 4.1, 4.2, 4.6, 5.6 and addition of email address</w:t>
            </w:r>
          </w:p>
        </w:tc>
        <w:tc>
          <w:tcPr>
            <w:tcW w:w="1843" w:type="dxa"/>
          </w:tcPr>
          <w:p w:rsidR="002106B6" w:rsidRPr="00D61D10" w:rsidRDefault="002F19E0" w:rsidP="00723B6D">
            <w:pPr>
              <w:widowControl/>
              <w:spacing w:before="60" w:after="60"/>
              <w:ind w:right="170"/>
              <w:jc w:val="right"/>
              <w:rPr>
                <w:rFonts w:ascii="Arial" w:hAnsi="Arial"/>
                <w:sz w:val="20"/>
              </w:rPr>
            </w:pPr>
            <w:r w:rsidRPr="00D61D10">
              <w:rPr>
                <w:rFonts w:ascii="Arial" w:hAnsi="Arial"/>
                <w:sz w:val="20"/>
              </w:rPr>
              <w:t>June</w:t>
            </w:r>
            <w:r w:rsidR="00D53E4C" w:rsidRPr="00D61D10">
              <w:rPr>
                <w:rFonts w:ascii="Arial" w:hAnsi="Arial"/>
                <w:sz w:val="20"/>
              </w:rPr>
              <w:t xml:space="preserve"> 2017</w:t>
            </w:r>
          </w:p>
        </w:tc>
      </w:tr>
      <w:tr w:rsidR="00BF0396" w:rsidRPr="00D61D10" w:rsidTr="00F463B6">
        <w:tc>
          <w:tcPr>
            <w:tcW w:w="8080" w:type="dxa"/>
          </w:tcPr>
          <w:p w:rsidR="00BF0396" w:rsidRPr="00D61D10" w:rsidRDefault="003E30DB" w:rsidP="00D53E4C">
            <w:pPr>
              <w:widowControl/>
              <w:spacing w:before="60" w:after="40"/>
              <w:ind w:left="170" w:right="170"/>
              <w:rPr>
                <w:rFonts w:ascii="Arial" w:hAnsi="Arial"/>
                <w:sz w:val="20"/>
              </w:rPr>
            </w:pPr>
            <w:r>
              <w:rPr>
                <w:rFonts w:ascii="Arial" w:hAnsi="Arial"/>
                <w:sz w:val="20"/>
              </w:rPr>
              <w:t>Version 6</w:t>
            </w:r>
            <w:r w:rsidR="00BF0396">
              <w:rPr>
                <w:rFonts w:ascii="Arial" w:hAnsi="Arial"/>
                <w:sz w:val="20"/>
              </w:rPr>
              <w:t>:</w:t>
            </w:r>
            <w:r w:rsidR="00B20708">
              <w:rPr>
                <w:rFonts w:ascii="Arial" w:hAnsi="Arial"/>
                <w:sz w:val="20"/>
              </w:rPr>
              <w:t xml:space="preserve"> Due date for comment</w:t>
            </w:r>
          </w:p>
        </w:tc>
        <w:tc>
          <w:tcPr>
            <w:tcW w:w="1843" w:type="dxa"/>
          </w:tcPr>
          <w:p w:rsidR="00BF0396" w:rsidRPr="00D61D10" w:rsidRDefault="00B20708" w:rsidP="00B20708">
            <w:pPr>
              <w:widowControl/>
              <w:spacing w:before="60" w:after="60"/>
              <w:ind w:right="170"/>
              <w:jc w:val="right"/>
              <w:rPr>
                <w:rFonts w:ascii="Arial" w:hAnsi="Arial"/>
                <w:sz w:val="20"/>
              </w:rPr>
            </w:pPr>
            <w:r>
              <w:rPr>
                <w:rFonts w:ascii="Arial" w:hAnsi="Arial"/>
                <w:sz w:val="20"/>
              </w:rPr>
              <w:t>13 June</w:t>
            </w:r>
            <w:r w:rsidR="00BF0396">
              <w:rPr>
                <w:rFonts w:ascii="Arial" w:hAnsi="Arial"/>
                <w:sz w:val="20"/>
              </w:rPr>
              <w:t xml:space="preserve"> 2019</w:t>
            </w:r>
          </w:p>
        </w:tc>
      </w:tr>
    </w:tbl>
    <w:p w:rsidR="00760E87" w:rsidRDefault="00760E87">
      <w:pPr>
        <w:pStyle w:val="Footer"/>
        <w:tabs>
          <w:tab w:val="clear" w:pos="4153"/>
          <w:tab w:val="clear" w:pos="8306"/>
        </w:tabs>
        <w:rPr>
          <w:rFonts w:ascii="Arial" w:hAnsi="Arial" w:cs="Arial"/>
          <w:sz w:val="20"/>
        </w:rPr>
      </w:pPr>
    </w:p>
    <w:p w:rsidR="00440854" w:rsidRPr="007E0905" w:rsidRDefault="00FC100C" w:rsidP="00177AA0">
      <w:pPr>
        <w:pStyle w:val="Footer"/>
        <w:tabs>
          <w:tab w:val="clear" w:pos="4153"/>
          <w:tab w:val="clear" w:pos="8306"/>
        </w:tabs>
        <w:spacing w:before="120"/>
        <w:rPr>
          <w:rFonts w:ascii="Arial" w:hAnsi="Arial" w:cs="Arial"/>
          <w:b/>
          <w:strike/>
          <w:sz w:val="20"/>
        </w:rPr>
      </w:pPr>
      <w:r>
        <w:rPr>
          <w:rFonts w:ascii="Arial" w:hAnsi="Arial" w:cs="Arial"/>
          <w:b/>
          <w:sz w:val="20"/>
        </w:rPr>
        <w:t>M</w:t>
      </w:r>
      <w:r w:rsidR="008442D3" w:rsidRPr="008442D3">
        <w:rPr>
          <w:rFonts w:ascii="Arial" w:hAnsi="Arial" w:cs="Arial"/>
          <w:b/>
          <w:sz w:val="20"/>
        </w:rPr>
        <w:t>S P NKAMBULE</w:t>
      </w:r>
    </w:p>
    <w:p w:rsidR="00310F5B" w:rsidRPr="007E0905" w:rsidRDefault="007E0905" w:rsidP="00D42DBE">
      <w:pPr>
        <w:pStyle w:val="Footer"/>
        <w:tabs>
          <w:tab w:val="clear" w:pos="4153"/>
          <w:tab w:val="clear" w:pos="8306"/>
        </w:tabs>
        <w:spacing w:before="120"/>
        <w:rPr>
          <w:rFonts w:ascii="Arial" w:hAnsi="Arial" w:cs="Arial"/>
          <w:b/>
          <w:bCs/>
          <w:sz w:val="20"/>
        </w:rPr>
      </w:pPr>
      <w:r>
        <w:rPr>
          <w:rFonts w:ascii="Arial" w:hAnsi="Arial" w:cs="Arial"/>
          <w:b/>
          <w:bCs/>
          <w:sz w:val="20"/>
        </w:rPr>
        <w:t>C</w:t>
      </w:r>
      <w:r w:rsidR="00FC100C">
        <w:rPr>
          <w:rFonts w:ascii="Arial" w:hAnsi="Arial" w:cs="Arial"/>
          <w:b/>
          <w:bCs/>
          <w:sz w:val="20"/>
        </w:rPr>
        <w:t xml:space="preserve">HIEF </w:t>
      </w:r>
      <w:r>
        <w:rPr>
          <w:rFonts w:ascii="Arial" w:hAnsi="Arial" w:cs="Arial"/>
          <w:b/>
          <w:bCs/>
          <w:sz w:val="20"/>
        </w:rPr>
        <w:t>E</w:t>
      </w:r>
      <w:r w:rsidR="00FC100C">
        <w:rPr>
          <w:rFonts w:ascii="Arial" w:hAnsi="Arial" w:cs="Arial"/>
          <w:b/>
          <w:bCs/>
          <w:sz w:val="20"/>
        </w:rPr>
        <w:t xml:space="preserve">XEXCUTIVE </w:t>
      </w:r>
      <w:r>
        <w:rPr>
          <w:rFonts w:ascii="Arial" w:hAnsi="Arial" w:cs="Arial"/>
          <w:b/>
          <w:bCs/>
          <w:sz w:val="20"/>
        </w:rPr>
        <w:t>O</w:t>
      </w:r>
      <w:r w:rsidR="00FC100C">
        <w:rPr>
          <w:rFonts w:ascii="Arial" w:hAnsi="Arial" w:cs="Arial"/>
          <w:b/>
          <w:bCs/>
          <w:sz w:val="20"/>
        </w:rPr>
        <w:t>FFICER</w:t>
      </w:r>
    </w:p>
    <w:p w:rsidR="00322D69" w:rsidRDefault="00322D69" w:rsidP="00D42DBE">
      <w:pPr>
        <w:pStyle w:val="Footer"/>
        <w:tabs>
          <w:tab w:val="clear" w:pos="4153"/>
          <w:tab w:val="clear" w:pos="8306"/>
        </w:tabs>
        <w:spacing w:before="120"/>
        <w:rPr>
          <w:rFonts w:ascii="Arial" w:hAnsi="Arial" w:cs="Arial"/>
          <w:b/>
          <w:bCs/>
          <w:sz w:val="20"/>
        </w:rPr>
      </w:pPr>
    </w:p>
    <w:p w:rsidR="00322D69" w:rsidRDefault="00322D69" w:rsidP="00D42DBE">
      <w:pPr>
        <w:pStyle w:val="Footer"/>
        <w:tabs>
          <w:tab w:val="clear" w:pos="4153"/>
          <w:tab w:val="clear" w:pos="8306"/>
        </w:tabs>
        <w:spacing w:before="120"/>
        <w:rPr>
          <w:rFonts w:ascii="Arial" w:hAnsi="Arial" w:cs="Arial"/>
          <w:b/>
          <w:bCs/>
          <w:sz w:val="20"/>
        </w:rPr>
        <w:sectPr w:rsidR="00322D69" w:rsidSect="003E30DB">
          <w:headerReference w:type="default" r:id="rId9"/>
          <w:footerReference w:type="default" r:id="rId10"/>
          <w:footerReference w:type="first" r:id="rId11"/>
          <w:pgSz w:w="11907" w:h="16840" w:code="9"/>
          <w:pgMar w:top="1469" w:right="1022" w:bottom="1699" w:left="1022" w:header="1138" w:footer="1138" w:gutter="0"/>
          <w:cols w:space="709"/>
          <w:noEndnote/>
          <w:titlePg/>
          <w:docGrid w:linePitch="360"/>
        </w:sectPr>
      </w:pPr>
      <w:bookmarkStart w:id="0" w:name="_GoBack"/>
      <w:bookmarkEnd w:id="0"/>
    </w:p>
    <w:p w:rsidR="00322D69" w:rsidRDefault="00322D69" w:rsidP="00D42DBE">
      <w:pPr>
        <w:pStyle w:val="Footer"/>
        <w:tabs>
          <w:tab w:val="clear" w:pos="4153"/>
          <w:tab w:val="clear" w:pos="8306"/>
        </w:tabs>
        <w:spacing w:before="120"/>
        <w:rPr>
          <w:rFonts w:ascii="Arial" w:hAnsi="Arial"/>
          <w:sz w:val="20"/>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double" w:sz="4" w:space="0" w:color="auto"/>
        </w:tblBorders>
        <w:tblLook w:val="04A0" w:firstRow="1" w:lastRow="0" w:firstColumn="1" w:lastColumn="0" w:noHBand="0" w:noVBand="1"/>
      </w:tblPr>
      <w:tblGrid>
        <w:gridCol w:w="9835"/>
      </w:tblGrid>
      <w:tr w:rsidR="00310F5B" w:rsidRPr="007109B1" w:rsidTr="00853FE1">
        <w:trPr>
          <w:tblHeader/>
        </w:trPr>
        <w:tc>
          <w:tcPr>
            <w:tcW w:w="10081" w:type="dxa"/>
            <w:tcBorders>
              <w:top w:val="double" w:sz="4" w:space="0" w:color="auto"/>
              <w:bottom w:val="nil"/>
            </w:tcBorders>
            <w:shd w:val="clear" w:color="auto" w:fill="auto"/>
          </w:tcPr>
          <w:p w:rsidR="00310F5B" w:rsidRPr="007109B1" w:rsidRDefault="007F268B" w:rsidP="009E2D8E">
            <w:pPr>
              <w:pStyle w:val="EndnoteText"/>
              <w:spacing w:before="240"/>
              <w:jc w:val="center"/>
              <w:rPr>
                <w:rFonts w:ascii="Arial" w:hAnsi="Arial" w:cs="Arial"/>
                <w:sz w:val="22"/>
                <w:szCs w:val="22"/>
              </w:rPr>
            </w:pPr>
            <w:bookmarkStart w:id="1" w:name="ToC"/>
            <w:bookmarkEnd w:id="1"/>
            <w:r w:rsidRPr="007109B1">
              <w:rPr>
                <w:rFonts w:ascii="Arial" w:hAnsi="Arial" w:cs="Arial"/>
                <w:b/>
                <w:sz w:val="22"/>
                <w:szCs w:val="22"/>
              </w:rPr>
              <w:t>TABLE OF CONTENTS</w:t>
            </w:r>
          </w:p>
          <w:p w:rsidR="00310F5B" w:rsidRPr="007109B1" w:rsidRDefault="007F268B" w:rsidP="00B30A83">
            <w:pPr>
              <w:pStyle w:val="EndnoteText"/>
              <w:spacing w:line="360" w:lineRule="auto"/>
              <w:ind w:right="340"/>
              <w:jc w:val="right"/>
              <w:rPr>
                <w:rFonts w:ascii="Arial" w:hAnsi="Arial" w:cs="Arial"/>
                <w:b/>
                <w:sz w:val="22"/>
                <w:szCs w:val="22"/>
              </w:rPr>
            </w:pPr>
            <w:r w:rsidRPr="007109B1">
              <w:rPr>
                <w:rFonts w:ascii="Arial" w:hAnsi="Arial" w:cs="Arial"/>
                <w:b/>
                <w:sz w:val="22"/>
                <w:szCs w:val="22"/>
              </w:rPr>
              <w:t>Page</w:t>
            </w:r>
          </w:p>
        </w:tc>
      </w:tr>
      <w:tr w:rsidR="007F268B" w:rsidRPr="007109B1" w:rsidTr="00853FE1">
        <w:tc>
          <w:tcPr>
            <w:tcW w:w="10081" w:type="dxa"/>
            <w:tcBorders>
              <w:top w:val="nil"/>
            </w:tcBorders>
            <w:shd w:val="clear" w:color="auto" w:fill="auto"/>
          </w:tcPr>
          <w:p w:rsidR="00436A8D" w:rsidRDefault="00436A8D">
            <w:pPr>
              <w:pStyle w:val="TOC1"/>
              <w:rPr>
                <w:rFonts w:asciiTheme="minorHAnsi" w:eastAsiaTheme="minorEastAsia" w:hAnsiTheme="minorHAnsi" w:cstheme="minorBidi"/>
                <w:b w:val="0"/>
                <w:noProof/>
                <w:sz w:val="22"/>
                <w:szCs w:val="22"/>
                <w:lang w:val="en-ZA" w:eastAsia="en-ZA"/>
              </w:rPr>
            </w:pPr>
            <w:r>
              <w:rPr>
                <w:rFonts w:cs="Arial"/>
                <w:b w:val="0"/>
                <w:sz w:val="22"/>
                <w:szCs w:val="22"/>
              </w:rPr>
              <w:fldChar w:fldCharType="begin"/>
            </w:r>
            <w:r>
              <w:rPr>
                <w:rFonts w:cs="Arial"/>
                <w:b w:val="0"/>
                <w:sz w:val="22"/>
                <w:szCs w:val="22"/>
              </w:rPr>
              <w:instrText xml:space="preserve"> TOC \o "1-3" \h \z \u </w:instrText>
            </w:r>
            <w:r>
              <w:rPr>
                <w:rFonts w:cs="Arial"/>
                <w:b w:val="0"/>
                <w:sz w:val="22"/>
                <w:szCs w:val="22"/>
              </w:rPr>
              <w:fldChar w:fldCharType="separate"/>
            </w:r>
            <w:hyperlink w:anchor="_Toc5282763" w:history="1">
              <w:r w:rsidRPr="0023628B">
                <w:rPr>
                  <w:rStyle w:val="Hyperlink"/>
                  <w:noProof/>
                </w:rPr>
                <w:t>1</w:t>
              </w:r>
              <w:r>
                <w:rPr>
                  <w:rFonts w:asciiTheme="minorHAnsi" w:eastAsiaTheme="minorEastAsia" w:hAnsiTheme="minorHAnsi" w:cstheme="minorBidi"/>
                  <w:b w:val="0"/>
                  <w:noProof/>
                  <w:sz w:val="22"/>
                  <w:szCs w:val="22"/>
                  <w:lang w:val="en-ZA" w:eastAsia="en-ZA"/>
                </w:rPr>
                <w:tab/>
              </w:r>
              <w:r w:rsidRPr="0023628B">
                <w:rPr>
                  <w:rStyle w:val="Hyperlink"/>
                  <w:noProof/>
                </w:rPr>
                <w:t>INTRODUCTION</w:t>
              </w:r>
              <w:r>
                <w:rPr>
                  <w:noProof/>
                  <w:webHidden/>
                </w:rPr>
                <w:tab/>
              </w:r>
              <w:r>
                <w:rPr>
                  <w:noProof/>
                  <w:webHidden/>
                </w:rPr>
                <w:fldChar w:fldCharType="begin"/>
              </w:r>
              <w:r>
                <w:rPr>
                  <w:noProof/>
                  <w:webHidden/>
                </w:rPr>
                <w:instrText xml:space="preserve"> PAGEREF _Toc5282763 \h </w:instrText>
              </w:r>
              <w:r>
                <w:rPr>
                  <w:noProof/>
                  <w:webHidden/>
                </w:rPr>
              </w:r>
              <w:r>
                <w:rPr>
                  <w:noProof/>
                  <w:webHidden/>
                </w:rPr>
                <w:fldChar w:fldCharType="separate"/>
              </w:r>
              <w:r>
                <w:rPr>
                  <w:noProof/>
                  <w:webHidden/>
                </w:rPr>
                <w:t>4</w:t>
              </w:r>
              <w:r>
                <w:rPr>
                  <w:noProof/>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64" w:history="1">
              <w:r w:rsidR="00436A8D" w:rsidRPr="0023628B">
                <w:rPr>
                  <w:rStyle w:val="Hyperlink"/>
                </w:rPr>
                <w:t>1.1</w:t>
              </w:r>
              <w:r w:rsidR="00436A8D">
                <w:rPr>
                  <w:rFonts w:asciiTheme="minorHAnsi" w:eastAsiaTheme="minorEastAsia" w:hAnsiTheme="minorHAnsi" w:cstheme="minorBidi"/>
                  <w:sz w:val="22"/>
                  <w:szCs w:val="22"/>
                  <w:lang w:val="en-ZA" w:eastAsia="en-ZA"/>
                </w:rPr>
                <w:tab/>
              </w:r>
              <w:r w:rsidR="00436A8D" w:rsidRPr="0023628B">
                <w:rPr>
                  <w:rStyle w:val="Hyperlink"/>
                </w:rPr>
                <w:t>Legal Basis</w:t>
              </w:r>
              <w:r w:rsidR="00436A8D">
                <w:rPr>
                  <w:webHidden/>
                </w:rPr>
                <w:tab/>
              </w:r>
              <w:r w:rsidR="00436A8D">
                <w:rPr>
                  <w:webHidden/>
                </w:rPr>
                <w:fldChar w:fldCharType="begin"/>
              </w:r>
              <w:r w:rsidR="00436A8D">
                <w:rPr>
                  <w:webHidden/>
                </w:rPr>
                <w:instrText xml:space="preserve"> PAGEREF _Toc5282764 \h </w:instrText>
              </w:r>
              <w:r w:rsidR="00436A8D">
                <w:rPr>
                  <w:webHidden/>
                </w:rPr>
              </w:r>
              <w:r w:rsidR="00436A8D">
                <w:rPr>
                  <w:webHidden/>
                </w:rPr>
                <w:fldChar w:fldCharType="separate"/>
              </w:r>
              <w:r w:rsidR="00436A8D">
                <w:rPr>
                  <w:webHidden/>
                </w:rPr>
                <w:t>4</w:t>
              </w:r>
              <w:r w:rsidR="00436A8D">
                <w:rPr>
                  <w:webHidden/>
                </w:rPr>
                <w:fldChar w:fldCharType="end"/>
              </w:r>
            </w:hyperlink>
          </w:p>
          <w:p w:rsidR="00436A8D" w:rsidRDefault="00021093">
            <w:pPr>
              <w:pStyle w:val="TOC1"/>
              <w:rPr>
                <w:rFonts w:asciiTheme="minorHAnsi" w:eastAsiaTheme="minorEastAsia" w:hAnsiTheme="minorHAnsi" w:cstheme="minorBidi"/>
                <w:b w:val="0"/>
                <w:noProof/>
                <w:sz w:val="22"/>
                <w:szCs w:val="22"/>
                <w:lang w:val="en-ZA" w:eastAsia="en-ZA"/>
              </w:rPr>
            </w:pPr>
            <w:hyperlink w:anchor="_Toc5282765" w:history="1">
              <w:r w:rsidR="00436A8D" w:rsidRPr="0023628B">
                <w:rPr>
                  <w:rStyle w:val="Hyperlink"/>
                  <w:noProof/>
                </w:rPr>
                <w:t>2</w:t>
              </w:r>
              <w:r w:rsidR="00436A8D">
                <w:rPr>
                  <w:rFonts w:asciiTheme="minorHAnsi" w:eastAsiaTheme="minorEastAsia" w:hAnsiTheme="minorHAnsi" w:cstheme="minorBidi"/>
                  <w:b w:val="0"/>
                  <w:noProof/>
                  <w:sz w:val="22"/>
                  <w:szCs w:val="22"/>
                  <w:lang w:val="en-ZA" w:eastAsia="en-ZA"/>
                </w:rPr>
                <w:tab/>
              </w:r>
              <w:r w:rsidR="00436A8D" w:rsidRPr="0023628B">
                <w:rPr>
                  <w:rStyle w:val="Hyperlink"/>
                  <w:noProof/>
                </w:rPr>
                <w:t>DEFINITIONS</w:t>
              </w:r>
              <w:r w:rsidR="00436A8D">
                <w:rPr>
                  <w:noProof/>
                  <w:webHidden/>
                </w:rPr>
                <w:tab/>
              </w:r>
              <w:r w:rsidR="00436A8D">
                <w:rPr>
                  <w:noProof/>
                  <w:webHidden/>
                </w:rPr>
                <w:fldChar w:fldCharType="begin"/>
              </w:r>
              <w:r w:rsidR="00436A8D">
                <w:rPr>
                  <w:noProof/>
                  <w:webHidden/>
                </w:rPr>
                <w:instrText xml:space="preserve"> PAGEREF _Toc5282765 \h </w:instrText>
              </w:r>
              <w:r w:rsidR="00436A8D">
                <w:rPr>
                  <w:noProof/>
                  <w:webHidden/>
                </w:rPr>
              </w:r>
              <w:r w:rsidR="00436A8D">
                <w:rPr>
                  <w:noProof/>
                  <w:webHidden/>
                </w:rPr>
                <w:fldChar w:fldCharType="separate"/>
              </w:r>
              <w:r w:rsidR="00436A8D">
                <w:rPr>
                  <w:noProof/>
                  <w:webHidden/>
                </w:rPr>
                <w:t>4</w:t>
              </w:r>
              <w:r w:rsidR="00436A8D">
                <w:rPr>
                  <w:noProof/>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66" w:history="1">
              <w:r w:rsidR="00436A8D" w:rsidRPr="0023628B">
                <w:rPr>
                  <w:rStyle w:val="Hyperlink"/>
                </w:rPr>
                <w:t>2.1</w:t>
              </w:r>
              <w:r w:rsidR="00436A8D">
                <w:rPr>
                  <w:rFonts w:asciiTheme="minorHAnsi" w:eastAsiaTheme="minorEastAsia" w:hAnsiTheme="minorHAnsi" w:cstheme="minorBidi"/>
                  <w:sz w:val="22"/>
                  <w:szCs w:val="22"/>
                  <w:lang w:val="en-ZA" w:eastAsia="en-ZA"/>
                </w:rPr>
                <w:tab/>
              </w:r>
              <w:r w:rsidR="00436A8D" w:rsidRPr="0023628B">
                <w:rPr>
                  <w:rStyle w:val="Hyperlink"/>
                </w:rPr>
                <w:t>Adverse Event</w:t>
              </w:r>
              <w:r w:rsidR="00436A8D">
                <w:rPr>
                  <w:webHidden/>
                </w:rPr>
                <w:tab/>
              </w:r>
              <w:r w:rsidR="00436A8D">
                <w:rPr>
                  <w:webHidden/>
                </w:rPr>
                <w:fldChar w:fldCharType="begin"/>
              </w:r>
              <w:r w:rsidR="00436A8D">
                <w:rPr>
                  <w:webHidden/>
                </w:rPr>
                <w:instrText xml:space="preserve"> PAGEREF _Toc5282766 \h </w:instrText>
              </w:r>
              <w:r w:rsidR="00436A8D">
                <w:rPr>
                  <w:webHidden/>
                </w:rPr>
              </w:r>
              <w:r w:rsidR="00436A8D">
                <w:rPr>
                  <w:webHidden/>
                </w:rPr>
                <w:fldChar w:fldCharType="separate"/>
              </w:r>
              <w:r w:rsidR="00436A8D">
                <w:rPr>
                  <w:webHidden/>
                </w:rPr>
                <w:t>4</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67" w:history="1">
              <w:r w:rsidR="00436A8D" w:rsidRPr="0023628B">
                <w:rPr>
                  <w:rStyle w:val="Hyperlink"/>
                </w:rPr>
                <w:t>2.2</w:t>
              </w:r>
              <w:r w:rsidR="00436A8D">
                <w:rPr>
                  <w:rFonts w:asciiTheme="minorHAnsi" w:eastAsiaTheme="minorEastAsia" w:hAnsiTheme="minorHAnsi" w:cstheme="minorBidi"/>
                  <w:sz w:val="22"/>
                  <w:szCs w:val="22"/>
                  <w:lang w:val="en-ZA" w:eastAsia="en-ZA"/>
                </w:rPr>
                <w:tab/>
              </w:r>
              <w:r w:rsidR="00436A8D" w:rsidRPr="0023628B">
                <w:rPr>
                  <w:rStyle w:val="Hyperlink"/>
                </w:rPr>
                <w:t>Adverse Drug Reaction (ADR) or Adverse Reaction</w:t>
              </w:r>
              <w:r w:rsidR="00436A8D">
                <w:rPr>
                  <w:webHidden/>
                </w:rPr>
                <w:tab/>
              </w:r>
              <w:r w:rsidR="00436A8D">
                <w:rPr>
                  <w:webHidden/>
                </w:rPr>
                <w:fldChar w:fldCharType="begin"/>
              </w:r>
              <w:r w:rsidR="00436A8D">
                <w:rPr>
                  <w:webHidden/>
                </w:rPr>
                <w:instrText xml:space="preserve"> PAGEREF _Toc5282767 \h </w:instrText>
              </w:r>
              <w:r w:rsidR="00436A8D">
                <w:rPr>
                  <w:webHidden/>
                </w:rPr>
              </w:r>
              <w:r w:rsidR="00436A8D">
                <w:rPr>
                  <w:webHidden/>
                </w:rPr>
                <w:fldChar w:fldCharType="separate"/>
              </w:r>
              <w:r w:rsidR="00436A8D">
                <w:rPr>
                  <w:webHidden/>
                </w:rPr>
                <w:t>5</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68" w:history="1">
              <w:r w:rsidR="00436A8D" w:rsidRPr="0023628B">
                <w:rPr>
                  <w:rStyle w:val="Hyperlink"/>
                </w:rPr>
                <w:t>2.3</w:t>
              </w:r>
              <w:r w:rsidR="00436A8D">
                <w:rPr>
                  <w:rFonts w:asciiTheme="minorHAnsi" w:eastAsiaTheme="minorEastAsia" w:hAnsiTheme="minorHAnsi" w:cstheme="minorBidi"/>
                  <w:sz w:val="22"/>
                  <w:szCs w:val="22"/>
                  <w:lang w:val="en-ZA" w:eastAsia="en-ZA"/>
                </w:rPr>
                <w:tab/>
              </w:r>
              <w:r w:rsidR="00436A8D" w:rsidRPr="0023628B">
                <w:rPr>
                  <w:rStyle w:val="Hyperlink"/>
                </w:rPr>
                <w:t>Serious Adverse Drug Event or Adverse Drug Reaction</w:t>
              </w:r>
              <w:r w:rsidR="00436A8D">
                <w:rPr>
                  <w:webHidden/>
                </w:rPr>
                <w:tab/>
              </w:r>
              <w:r w:rsidR="00436A8D">
                <w:rPr>
                  <w:webHidden/>
                </w:rPr>
                <w:fldChar w:fldCharType="begin"/>
              </w:r>
              <w:r w:rsidR="00436A8D">
                <w:rPr>
                  <w:webHidden/>
                </w:rPr>
                <w:instrText xml:space="preserve"> PAGEREF _Toc5282768 \h </w:instrText>
              </w:r>
              <w:r w:rsidR="00436A8D">
                <w:rPr>
                  <w:webHidden/>
                </w:rPr>
              </w:r>
              <w:r w:rsidR="00436A8D">
                <w:rPr>
                  <w:webHidden/>
                </w:rPr>
                <w:fldChar w:fldCharType="separate"/>
              </w:r>
              <w:r w:rsidR="00436A8D">
                <w:rPr>
                  <w:webHidden/>
                </w:rPr>
                <w:t>5</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69" w:history="1">
              <w:r w:rsidR="00436A8D" w:rsidRPr="0023628B">
                <w:rPr>
                  <w:rStyle w:val="Hyperlink"/>
                </w:rPr>
                <w:t>2.4</w:t>
              </w:r>
              <w:r w:rsidR="00436A8D">
                <w:rPr>
                  <w:rFonts w:asciiTheme="minorHAnsi" w:eastAsiaTheme="minorEastAsia" w:hAnsiTheme="minorHAnsi" w:cstheme="minorBidi"/>
                  <w:sz w:val="22"/>
                  <w:szCs w:val="22"/>
                  <w:lang w:val="en-ZA" w:eastAsia="en-ZA"/>
                </w:rPr>
                <w:tab/>
              </w:r>
              <w:r w:rsidR="00436A8D" w:rsidRPr="0023628B">
                <w:rPr>
                  <w:rStyle w:val="Hyperlink"/>
                </w:rPr>
                <w:t>Unexpected (unlisted) Adverse Drug Reaction</w:t>
              </w:r>
              <w:r w:rsidR="00436A8D">
                <w:rPr>
                  <w:webHidden/>
                </w:rPr>
                <w:tab/>
              </w:r>
              <w:r w:rsidR="00436A8D">
                <w:rPr>
                  <w:webHidden/>
                </w:rPr>
                <w:fldChar w:fldCharType="begin"/>
              </w:r>
              <w:r w:rsidR="00436A8D">
                <w:rPr>
                  <w:webHidden/>
                </w:rPr>
                <w:instrText xml:space="preserve"> PAGEREF _Toc5282769 \h </w:instrText>
              </w:r>
              <w:r w:rsidR="00436A8D">
                <w:rPr>
                  <w:webHidden/>
                </w:rPr>
              </w:r>
              <w:r w:rsidR="00436A8D">
                <w:rPr>
                  <w:webHidden/>
                </w:rPr>
                <w:fldChar w:fldCharType="separate"/>
              </w:r>
              <w:r w:rsidR="00436A8D">
                <w:rPr>
                  <w:webHidden/>
                </w:rPr>
                <w:t>6</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70" w:history="1">
              <w:r w:rsidR="00436A8D" w:rsidRPr="0023628B">
                <w:rPr>
                  <w:rStyle w:val="Hyperlink"/>
                </w:rPr>
                <w:t>2.5</w:t>
              </w:r>
              <w:r w:rsidR="00436A8D">
                <w:rPr>
                  <w:rFonts w:asciiTheme="minorHAnsi" w:eastAsiaTheme="minorEastAsia" w:hAnsiTheme="minorHAnsi" w:cstheme="minorBidi"/>
                  <w:sz w:val="22"/>
                  <w:szCs w:val="22"/>
                  <w:lang w:val="en-ZA" w:eastAsia="en-ZA"/>
                </w:rPr>
                <w:tab/>
              </w:r>
              <w:r w:rsidR="00436A8D" w:rsidRPr="0023628B">
                <w:rPr>
                  <w:rStyle w:val="Hyperlink"/>
                </w:rPr>
                <w:t>Significant safety issue</w:t>
              </w:r>
              <w:r w:rsidR="00436A8D">
                <w:rPr>
                  <w:webHidden/>
                </w:rPr>
                <w:tab/>
              </w:r>
              <w:r w:rsidR="00436A8D">
                <w:rPr>
                  <w:webHidden/>
                </w:rPr>
                <w:fldChar w:fldCharType="begin"/>
              </w:r>
              <w:r w:rsidR="00436A8D">
                <w:rPr>
                  <w:webHidden/>
                </w:rPr>
                <w:instrText xml:space="preserve"> PAGEREF _Toc5282770 \h </w:instrText>
              </w:r>
              <w:r w:rsidR="00436A8D">
                <w:rPr>
                  <w:webHidden/>
                </w:rPr>
              </w:r>
              <w:r w:rsidR="00436A8D">
                <w:rPr>
                  <w:webHidden/>
                </w:rPr>
                <w:fldChar w:fldCharType="separate"/>
              </w:r>
              <w:r w:rsidR="00436A8D">
                <w:rPr>
                  <w:webHidden/>
                </w:rPr>
                <w:t>6</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71" w:history="1">
              <w:r w:rsidR="00436A8D" w:rsidRPr="0023628B">
                <w:rPr>
                  <w:rStyle w:val="Hyperlink"/>
                </w:rPr>
                <w:t>2.6</w:t>
              </w:r>
              <w:r w:rsidR="00436A8D">
                <w:rPr>
                  <w:rFonts w:asciiTheme="minorHAnsi" w:eastAsiaTheme="minorEastAsia" w:hAnsiTheme="minorHAnsi" w:cstheme="minorBidi"/>
                  <w:sz w:val="22"/>
                  <w:szCs w:val="22"/>
                  <w:lang w:val="en-ZA" w:eastAsia="en-ZA"/>
                </w:rPr>
                <w:tab/>
              </w:r>
              <w:r w:rsidR="00436A8D" w:rsidRPr="0023628B">
                <w:rPr>
                  <w:rStyle w:val="Hyperlink"/>
                </w:rPr>
                <w:t>Adverse Drug Reaction Report(Individual Case Safety Report)</w:t>
              </w:r>
              <w:r w:rsidR="00436A8D">
                <w:rPr>
                  <w:webHidden/>
                </w:rPr>
                <w:tab/>
              </w:r>
              <w:r w:rsidR="00436A8D">
                <w:rPr>
                  <w:webHidden/>
                </w:rPr>
                <w:fldChar w:fldCharType="begin"/>
              </w:r>
              <w:r w:rsidR="00436A8D">
                <w:rPr>
                  <w:webHidden/>
                </w:rPr>
                <w:instrText xml:space="preserve"> PAGEREF _Toc5282771 \h </w:instrText>
              </w:r>
              <w:r w:rsidR="00436A8D">
                <w:rPr>
                  <w:webHidden/>
                </w:rPr>
              </w:r>
              <w:r w:rsidR="00436A8D">
                <w:rPr>
                  <w:webHidden/>
                </w:rPr>
                <w:fldChar w:fldCharType="separate"/>
              </w:r>
              <w:r w:rsidR="00436A8D">
                <w:rPr>
                  <w:webHidden/>
                </w:rPr>
                <w:t>6</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72" w:history="1">
              <w:r w:rsidR="00436A8D" w:rsidRPr="0023628B">
                <w:rPr>
                  <w:rStyle w:val="Hyperlink"/>
                </w:rPr>
                <w:t>2.7</w:t>
              </w:r>
              <w:r w:rsidR="00436A8D">
                <w:rPr>
                  <w:rFonts w:asciiTheme="minorHAnsi" w:eastAsiaTheme="minorEastAsia" w:hAnsiTheme="minorHAnsi" w:cstheme="minorBidi"/>
                  <w:sz w:val="22"/>
                  <w:szCs w:val="22"/>
                  <w:lang w:val="en-ZA" w:eastAsia="en-ZA"/>
                </w:rPr>
                <w:tab/>
              </w:r>
              <w:r w:rsidR="00436A8D" w:rsidRPr="0023628B">
                <w:rPr>
                  <w:rStyle w:val="Hyperlink"/>
                </w:rPr>
                <w:t>Spontaneous Report or Notification</w:t>
              </w:r>
              <w:r w:rsidR="00436A8D">
                <w:rPr>
                  <w:webHidden/>
                </w:rPr>
                <w:tab/>
              </w:r>
              <w:r w:rsidR="00436A8D">
                <w:rPr>
                  <w:webHidden/>
                </w:rPr>
                <w:fldChar w:fldCharType="begin"/>
              </w:r>
              <w:r w:rsidR="00436A8D">
                <w:rPr>
                  <w:webHidden/>
                </w:rPr>
                <w:instrText xml:space="preserve"> PAGEREF _Toc5282772 \h </w:instrText>
              </w:r>
              <w:r w:rsidR="00436A8D">
                <w:rPr>
                  <w:webHidden/>
                </w:rPr>
              </w:r>
              <w:r w:rsidR="00436A8D">
                <w:rPr>
                  <w:webHidden/>
                </w:rPr>
                <w:fldChar w:fldCharType="separate"/>
              </w:r>
              <w:r w:rsidR="00436A8D">
                <w:rPr>
                  <w:webHidden/>
                </w:rPr>
                <w:t>6</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73" w:history="1">
              <w:r w:rsidR="00436A8D" w:rsidRPr="0023628B">
                <w:rPr>
                  <w:rStyle w:val="Hyperlink"/>
                </w:rPr>
                <w:t>2.8</w:t>
              </w:r>
              <w:r w:rsidR="00436A8D">
                <w:rPr>
                  <w:rFonts w:asciiTheme="minorHAnsi" w:eastAsiaTheme="minorEastAsia" w:hAnsiTheme="minorHAnsi" w:cstheme="minorBidi"/>
                  <w:sz w:val="22"/>
                  <w:szCs w:val="22"/>
                  <w:lang w:val="en-ZA" w:eastAsia="en-ZA"/>
                </w:rPr>
                <w:tab/>
              </w:r>
              <w:r w:rsidR="00436A8D" w:rsidRPr="0023628B">
                <w:rPr>
                  <w:rStyle w:val="Hyperlink"/>
                </w:rPr>
                <w:t>Solicited Reports</w:t>
              </w:r>
              <w:r w:rsidR="00436A8D">
                <w:rPr>
                  <w:webHidden/>
                </w:rPr>
                <w:tab/>
              </w:r>
              <w:r w:rsidR="00436A8D">
                <w:rPr>
                  <w:webHidden/>
                </w:rPr>
                <w:fldChar w:fldCharType="begin"/>
              </w:r>
              <w:r w:rsidR="00436A8D">
                <w:rPr>
                  <w:webHidden/>
                </w:rPr>
                <w:instrText xml:space="preserve"> PAGEREF _Toc5282773 \h </w:instrText>
              </w:r>
              <w:r w:rsidR="00436A8D">
                <w:rPr>
                  <w:webHidden/>
                </w:rPr>
              </w:r>
              <w:r w:rsidR="00436A8D">
                <w:rPr>
                  <w:webHidden/>
                </w:rPr>
                <w:fldChar w:fldCharType="separate"/>
              </w:r>
              <w:r w:rsidR="00436A8D">
                <w:rPr>
                  <w:webHidden/>
                </w:rPr>
                <w:t>6</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74" w:history="1">
              <w:r w:rsidR="00436A8D" w:rsidRPr="0023628B">
                <w:rPr>
                  <w:rStyle w:val="Hyperlink"/>
                </w:rPr>
                <w:t>2.9</w:t>
              </w:r>
              <w:r w:rsidR="00436A8D">
                <w:rPr>
                  <w:rFonts w:asciiTheme="minorHAnsi" w:eastAsiaTheme="minorEastAsia" w:hAnsiTheme="minorHAnsi" w:cstheme="minorBidi"/>
                  <w:sz w:val="22"/>
                  <w:szCs w:val="22"/>
                  <w:lang w:val="en-ZA" w:eastAsia="en-ZA"/>
                </w:rPr>
                <w:tab/>
              </w:r>
              <w:r w:rsidR="00436A8D" w:rsidRPr="0023628B">
                <w:rPr>
                  <w:rStyle w:val="Hyperlink"/>
                </w:rPr>
                <w:t>Reportable Adverse Reaction – Minimum Information</w:t>
              </w:r>
              <w:r w:rsidR="00436A8D">
                <w:rPr>
                  <w:webHidden/>
                </w:rPr>
                <w:tab/>
              </w:r>
              <w:r w:rsidR="00436A8D">
                <w:rPr>
                  <w:webHidden/>
                </w:rPr>
                <w:fldChar w:fldCharType="begin"/>
              </w:r>
              <w:r w:rsidR="00436A8D">
                <w:rPr>
                  <w:webHidden/>
                </w:rPr>
                <w:instrText xml:space="preserve"> PAGEREF _Toc5282774 \h </w:instrText>
              </w:r>
              <w:r w:rsidR="00436A8D">
                <w:rPr>
                  <w:webHidden/>
                </w:rPr>
              </w:r>
              <w:r w:rsidR="00436A8D">
                <w:rPr>
                  <w:webHidden/>
                </w:rPr>
                <w:fldChar w:fldCharType="separate"/>
              </w:r>
              <w:r w:rsidR="00436A8D">
                <w:rPr>
                  <w:webHidden/>
                </w:rPr>
                <w:t>6</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75" w:history="1">
              <w:r w:rsidR="00436A8D" w:rsidRPr="0023628B">
                <w:rPr>
                  <w:rStyle w:val="Hyperlink"/>
                </w:rPr>
                <w:t>2.10</w:t>
              </w:r>
              <w:r w:rsidR="00436A8D">
                <w:rPr>
                  <w:rFonts w:asciiTheme="minorHAnsi" w:eastAsiaTheme="minorEastAsia" w:hAnsiTheme="minorHAnsi" w:cstheme="minorBidi"/>
                  <w:sz w:val="22"/>
                  <w:szCs w:val="22"/>
                  <w:lang w:val="en-ZA" w:eastAsia="en-ZA"/>
                </w:rPr>
                <w:tab/>
              </w:r>
              <w:r w:rsidR="00436A8D" w:rsidRPr="0023628B">
                <w:rPr>
                  <w:rStyle w:val="Hyperlink"/>
                </w:rPr>
                <w:t>Periodic Safety Update Reports / Periodic Benefit-Risk Evaluation Reports</w:t>
              </w:r>
              <w:r w:rsidR="00436A8D">
                <w:rPr>
                  <w:webHidden/>
                </w:rPr>
                <w:tab/>
              </w:r>
              <w:r w:rsidR="00436A8D">
                <w:rPr>
                  <w:webHidden/>
                </w:rPr>
                <w:fldChar w:fldCharType="begin"/>
              </w:r>
              <w:r w:rsidR="00436A8D">
                <w:rPr>
                  <w:webHidden/>
                </w:rPr>
                <w:instrText xml:space="preserve"> PAGEREF _Toc5282775 \h </w:instrText>
              </w:r>
              <w:r w:rsidR="00436A8D">
                <w:rPr>
                  <w:webHidden/>
                </w:rPr>
              </w:r>
              <w:r w:rsidR="00436A8D">
                <w:rPr>
                  <w:webHidden/>
                </w:rPr>
                <w:fldChar w:fldCharType="separate"/>
              </w:r>
              <w:r w:rsidR="00436A8D">
                <w:rPr>
                  <w:webHidden/>
                </w:rPr>
                <w:t>7</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76" w:history="1">
              <w:r w:rsidR="00436A8D" w:rsidRPr="0023628B">
                <w:rPr>
                  <w:rStyle w:val="Hyperlink"/>
                </w:rPr>
                <w:t>2.11</w:t>
              </w:r>
              <w:r w:rsidR="00436A8D">
                <w:rPr>
                  <w:rFonts w:asciiTheme="minorHAnsi" w:eastAsiaTheme="minorEastAsia" w:hAnsiTheme="minorHAnsi" w:cstheme="minorBidi"/>
                  <w:sz w:val="22"/>
                  <w:szCs w:val="22"/>
                  <w:lang w:val="en-ZA" w:eastAsia="en-ZA"/>
                </w:rPr>
                <w:tab/>
              </w:r>
              <w:r w:rsidR="00436A8D" w:rsidRPr="0023628B">
                <w:rPr>
                  <w:rStyle w:val="Hyperlink"/>
                </w:rPr>
                <w:t>Line Listings</w:t>
              </w:r>
              <w:r w:rsidR="00436A8D">
                <w:rPr>
                  <w:webHidden/>
                </w:rPr>
                <w:tab/>
              </w:r>
              <w:r w:rsidR="00436A8D">
                <w:rPr>
                  <w:webHidden/>
                </w:rPr>
                <w:fldChar w:fldCharType="begin"/>
              </w:r>
              <w:r w:rsidR="00436A8D">
                <w:rPr>
                  <w:webHidden/>
                </w:rPr>
                <w:instrText xml:space="preserve"> PAGEREF _Toc5282776 \h </w:instrText>
              </w:r>
              <w:r w:rsidR="00436A8D">
                <w:rPr>
                  <w:webHidden/>
                </w:rPr>
              </w:r>
              <w:r w:rsidR="00436A8D">
                <w:rPr>
                  <w:webHidden/>
                </w:rPr>
                <w:fldChar w:fldCharType="separate"/>
              </w:r>
              <w:r w:rsidR="00436A8D">
                <w:rPr>
                  <w:webHidden/>
                </w:rPr>
                <w:t>7</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77" w:history="1">
              <w:r w:rsidR="00436A8D" w:rsidRPr="0023628B">
                <w:rPr>
                  <w:rStyle w:val="Hyperlink"/>
                  <w:bCs/>
                </w:rPr>
                <w:t>2.12</w:t>
              </w:r>
              <w:r w:rsidR="00436A8D">
                <w:rPr>
                  <w:rFonts w:asciiTheme="minorHAnsi" w:eastAsiaTheme="minorEastAsia" w:hAnsiTheme="minorHAnsi" w:cstheme="minorBidi"/>
                  <w:sz w:val="22"/>
                  <w:szCs w:val="22"/>
                  <w:lang w:val="en-ZA" w:eastAsia="en-ZA"/>
                </w:rPr>
                <w:tab/>
              </w:r>
              <w:r w:rsidR="00436A8D" w:rsidRPr="0023628B">
                <w:rPr>
                  <w:rStyle w:val="Hyperlink"/>
                </w:rPr>
                <w:t>Risk-Benefit Balance Evaluation</w:t>
              </w:r>
              <w:r w:rsidR="00436A8D">
                <w:rPr>
                  <w:webHidden/>
                </w:rPr>
                <w:tab/>
              </w:r>
              <w:r w:rsidR="00436A8D">
                <w:rPr>
                  <w:webHidden/>
                </w:rPr>
                <w:fldChar w:fldCharType="begin"/>
              </w:r>
              <w:r w:rsidR="00436A8D">
                <w:rPr>
                  <w:webHidden/>
                </w:rPr>
                <w:instrText xml:space="preserve"> PAGEREF _Toc5282777 \h </w:instrText>
              </w:r>
              <w:r w:rsidR="00436A8D">
                <w:rPr>
                  <w:webHidden/>
                </w:rPr>
              </w:r>
              <w:r w:rsidR="00436A8D">
                <w:rPr>
                  <w:webHidden/>
                </w:rPr>
                <w:fldChar w:fldCharType="separate"/>
              </w:r>
              <w:r w:rsidR="00436A8D">
                <w:rPr>
                  <w:webHidden/>
                </w:rPr>
                <w:t>7</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78" w:history="1">
              <w:r w:rsidR="00436A8D" w:rsidRPr="0023628B">
                <w:rPr>
                  <w:rStyle w:val="Hyperlink"/>
                </w:rPr>
                <w:t>2.13</w:t>
              </w:r>
              <w:r w:rsidR="00436A8D">
                <w:rPr>
                  <w:rFonts w:asciiTheme="minorHAnsi" w:eastAsiaTheme="minorEastAsia" w:hAnsiTheme="minorHAnsi" w:cstheme="minorBidi"/>
                  <w:sz w:val="22"/>
                  <w:szCs w:val="22"/>
                  <w:lang w:val="en-ZA" w:eastAsia="en-ZA"/>
                </w:rPr>
                <w:tab/>
              </w:r>
              <w:r w:rsidR="00436A8D" w:rsidRPr="0023628B">
                <w:rPr>
                  <w:rStyle w:val="Hyperlink"/>
                </w:rPr>
                <w:t>Healthcare Professional / Provider</w:t>
              </w:r>
              <w:r w:rsidR="00436A8D">
                <w:rPr>
                  <w:webHidden/>
                </w:rPr>
                <w:tab/>
              </w:r>
              <w:r w:rsidR="00436A8D">
                <w:rPr>
                  <w:webHidden/>
                </w:rPr>
                <w:fldChar w:fldCharType="begin"/>
              </w:r>
              <w:r w:rsidR="00436A8D">
                <w:rPr>
                  <w:webHidden/>
                </w:rPr>
                <w:instrText xml:space="preserve"> PAGEREF _Toc5282778 \h </w:instrText>
              </w:r>
              <w:r w:rsidR="00436A8D">
                <w:rPr>
                  <w:webHidden/>
                </w:rPr>
              </w:r>
              <w:r w:rsidR="00436A8D">
                <w:rPr>
                  <w:webHidden/>
                </w:rPr>
                <w:fldChar w:fldCharType="separate"/>
              </w:r>
              <w:r w:rsidR="00436A8D">
                <w:rPr>
                  <w:webHidden/>
                </w:rPr>
                <w:t>8</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79" w:history="1">
              <w:r w:rsidR="00436A8D" w:rsidRPr="0023628B">
                <w:rPr>
                  <w:rStyle w:val="Hyperlink"/>
                </w:rPr>
                <w:t>2.14</w:t>
              </w:r>
              <w:r w:rsidR="00436A8D">
                <w:rPr>
                  <w:rFonts w:asciiTheme="minorHAnsi" w:eastAsiaTheme="minorEastAsia" w:hAnsiTheme="minorHAnsi" w:cstheme="minorBidi"/>
                  <w:sz w:val="22"/>
                  <w:szCs w:val="22"/>
                  <w:lang w:val="en-ZA" w:eastAsia="en-ZA"/>
                </w:rPr>
                <w:tab/>
              </w:r>
              <w:r w:rsidR="00436A8D" w:rsidRPr="0023628B">
                <w:rPr>
                  <w:rStyle w:val="Hyperlink"/>
                </w:rPr>
                <w:t>Abuse of Medicine</w:t>
              </w:r>
              <w:r w:rsidR="00436A8D">
                <w:rPr>
                  <w:webHidden/>
                </w:rPr>
                <w:tab/>
              </w:r>
              <w:r w:rsidR="00436A8D">
                <w:rPr>
                  <w:webHidden/>
                </w:rPr>
                <w:fldChar w:fldCharType="begin"/>
              </w:r>
              <w:r w:rsidR="00436A8D">
                <w:rPr>
                  <w:webHidden/>
                </w:rPr>
                <w:instrText xml:space="preserve"> PAGEREF _Toc5282779 \h </w:instrText>
              </w:r>
              <w:r w:rsidR="00436A8D">
                <w:rPr>
                  <w:webHidden/>
                </w:rPr>
              </w:r>
              <w:r w:rsidR="00436A8D">
                <w:rPr>
                  <w:webHidden/>
                </w:rPr>
                <w:fldChar w:fldCharType="separate"/>
              </w:r>
              <w:r w:rsidR="00436A8D">
                <w:rPr>
                  <w:webHidden/>
                </w:rPr>
                <w:t>8</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80" w:history="1">
              <w:r w:rsidR="00436A8D" w:rsidRPr="0023628B">
                <w:rPr>
                  <w:rStyle w:val="Hyperlink"/>
                </w:rPr>
                <w:t>2.15</w:t>
              </w:r>
              <w:r w:rsidR="00436A8D">
                <w:rPr>
                  <w:rFonts w:asciiTheme="minorHAnsi" w:eastAsiaTheme="minorEastAsia" w:hAnsiTheme="minorHAnsi" w:cstheme="minorBidi"/>
                  <w:sz w:val="22"/>
                  <w:szCs w:val="22"/>
                  <w:lang w:val="en-ZA" w:eastAsia="en-ZA"/>
                </w:rPr>
                <w:tab/>
              </w:r>
              <w:r w:rsidR="00436A8D" w:rsidRPr="0023628B">
                <w:rPr>
                  <w:rStyle w:val="Hyperlink"/>
                </w:rPr>
                <w:t>Consumer</w:t>
              </w:r>
              <w:r w:rsidR="00436A8D">
                <w:rPr>
                  <w:webHidden/>
                </w:rPr>
                <w:tab/>
              </w:r>
              <w:r w:rsidR="00436A8D">
                <w:rPr>
                  <w:webHidden/>
                </w:rPr>
                <w:fldChar w:fldCharType="begin"/>
              </w:r>
              <w:r w:rsidR="00436A8D">
                <w:rPr>
                  <w:webHidden/>
                </w:rPr>
                <w:instrText xml:space="preserve"> PAGEREF _Toc5282780 \h </w:instrText>
              </w:r>
              <w:r w:rsidR="00436A8D">
                <w:rPr>
                  <w:webHidden/>
                </w:rPr>
              </w:r>
              <w:r w:rsidR="00436A8D">
                <w:rPr>
                  <w:webHidden/>
                </w:rPr>
                <w:fldChar w:fldCharType="separate"/>
              </w:r>
              <w:r w:rsidR="00436A8D">
                <w:rPr>
                  <w:webHidden/>
                </w:rPr>
                <w:t>8</w:t>
              </w:r>
              <w:r w:rsidR="00436A8D">
                <w:rPr>
                  <w:webHidden/>
                </w:rPr>
                <w:fldChar w:fldCharType="end"/>
              </w:r>
            </w:hyperlink>
          </w:p>
          <w:p w:rsidR="00436A8D" w:rsidRDefault="00021093">
            <w:pPr>
              <w:pStyle w:val="TOC1"/>
              <w:rPr>
                <w:rFonts w:asciiTheme="minorHAnsi" w:eastAsiaTheme="minorEastAsia" w:hAnsiTheme="minorHAnsi" w:cstheme="minorBidi"/>
                <w:b w:val="0"/>
                <w:noProof/>
                <w:sz w:val="22"/>
                <w:szCs w:val="22"/>
                <w:lang w:val="en-ZA" w:eastAsia="en-ZA"/>
              </w:rPr>
            </w:pPr>
            <w:hyperlink w:anchor="_Toc5282781" w:history="1">
              <w:r w:rsidR="00436A8D" w:rsidRPr="0023628B">
                <w:rPr>
                  <w:rStyle w:val="Hyperlink"/>
                  <w:noProof/>
                </w:rPr>
                <w:t>3</w:t>
              </w:r>
              <w:r w:rsidR="00436A8D">
                <w:rPr>
                  <w:rFonts w:asciiTheme="minorHAnsi" w:eastAsiaTheme="minorEastAsia" w:hAnsiTheme="minorHAnsi" w:cstheme="minorBidi"/>
                  <w:b w:val="0"/>
                  <w:noProof/>
                  <w:sz w:val="22"/>
                  <w:szCs w:val="22"/>
                  <w:lang w:val="en-ZA" w:eastAsia="en-ZA"/>
                </w:rPr>
                <w:tab/>
              </w:r>
              <w:r w:rsidR="00436A8D" w:rsidRPr="0023628B">
                <w:rPr>
                  <w:rStyle w:val="Hyperlink"/>
                  <w:noProof/>
                </w:rPr>
                <w:t>PHARMACOVIGILANCE OBLIGATIONS OF THE HOLDER OF A CERTIFICATE OF REGISTRATION/ APPLICANT</w:t>
              </w:r>
              <w:r w:rsidR="00436A8D">
                <w:rPr>
                  <w:noProof/>
                  <w:webHidden/>
                </w:rPr>
                <w:tab/>
              </w:r>
              <w:r w:rsidR="00436A8D">
                <w:rPr>
                  <w:noProof/>
                  <w:webHidden/>
                </w:rPr>
                <w:fldChar w:fldCharType="begin"/>
              </w:r>
              <w:r w:rsidR="00436A8D">
                <w:rPr>
                  <w:noProof/>
                  <w:webHidden/>
                </w:rPr>
                <w:instrText xml:space="preserve"> PAGEREF _Toc5282781 \h </w:instrText>
              </w:r>
              <w:r w:rsidR="00436A8D">
                <w:rPr>
                  <w:noProof/>
                  <w:webHidden/>
                </w:rPr>
              </w:r>
              <w:r w:rsidR="00436A8D">
                <w:rPr>
                  <w:noProof/>
                  <w:webHidden/>
                </w:rPr>
                <w:fldChar w:fldCharType="separate"/>
              </w:r>
              <w:r w:rsidR="00436A8D">
                <w:rPr>
                  <w:noProof/>
                  <w:webHidden/>
                </w:rPr>
                <w:t>8</w:t>
              </w:r>
              <w:r w:rsidR="00436A8D">
                <w:rPr>
                  <w:noProof/>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82" w:history="1">
              <w:r w:rsidR="00436A8D" w:rsidRPr="0023628B">
                <w:rPr>
                  <w:rStyle w:val="Hyperlink"/>
                </w:rPr>
                <w:t>3.1</w:t>
              </w:r>
              <w:r w:rsidR="00436A8D">
                <w:rPr>
                  <w:rFonts w:asciiTheme="minorHAnsi" w:eastAsiaTheme="minorEastAsia" w:hAnsiTheme="minorHAnsi" w:cstheme="minorBidi"/>
                  <w:sz w:val="22"/>
                  <w:szCs w:val="22"/>
                  <w:lang w:val="en-ZA" w:eastAsia="en-ZA"/>
                </w:rPr>
                <w:tab/>
              </w:r>
              <w:r w:rsidR="00436A8D" w:rsidRPr="0023628B">
                <w:rPr>
                  <w:rStyle w:val="Hyperlink"/>
                </w:rPr>
                <w:t>The Role and Responsibilities of the Holder of a Certificate of Registration/ Applicant</w:t>
              </w:r>
              <w:r w:rsidR="00436A8D">
                <w:rPr>
                  <w:webHidden/>
                </w:rPr>
                <w:tab/>
              </w:r>
              <w:r w:rsidR="00436A8D">
                <w:rPr>
                  <w:webHidden/>
                </w:rPr>
                <w:fldChar w:fldCharType="begin"/>
              </w:r>
              <w:r w:rsidR="00436A8D">
                <w:rPr>
                  <w:webHidden/>
                </w:rPr>
                <w:instrText xml:space="preserve"> PAGEREF _Toc5282782 \h </w:instrText>
              </w:r>
              <w:r w:rsidR="00436A8D">
                <w:rPr>
                  <w:webHidden/>
                </w:rPr>
              </w:r>
              <w:r w:rsidR="00436A8D">
                <w:rPr>
                  <w:webHidden/>
                </w:rPr>
                <w:fldChar w:fldCharType="separate"/>
              </w:r>
              <w:r w:rsidR="00436A8D">
                <w:rPr>
                  <w:webHidden/>
                </w:rPr>
                <w:t>8</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83" w:history="1">
              <w:r w:rsidR="00436A8D" w:rsidRPr="0023628B">
                <w:rPr>
                  <w:rStyle w:val="Hyperlink"/>
                </w:rPr>
                <w:t>3.2</w:t>
              </w:r>
              <w:r w:rsidR="00436A8D">
                <w:rPr>
                  <w:rFonts w:asciiTheme="minorHAnsi" w:eastAsiaTheme="minorEastAsia" w:hAnsiTheme="minorHAnsi" w:cstheme="minorBidi"/>
                  <w:sz w:val="22"/>
                  <w:szCs w:val="22"/>
                  <w:lang w:val="en-ZA" w:eastAsia="en-ZA"/>
                </w:rPr>
                <w:tab/>
              </w:r>
              <w:r w:rsidR="00436A8D" w:rsidRPr="0023628B">
                <w:rPr>
                  <w:rStyle w:val="Hyperlink"/>
                </w:rPr>
                <w:t xml:space="preserve">The Role and Responsibilities of the </w:t>
              </w:r>
              <w:r w:rsidR="00436A8D" w:rsidRPr="0023628B">
                <w:rPr>
                  <w:rStyle w:val="Hyperlink"/>
                  <w:rFonts w:cs="Arial"/>
                </w:rPr>
                <w:t xml:space="preserve">Holder of a Certificate of Registration’s/ Applicant’s </w:t>
              </w:r>
              <w:r w:rsidR="00436A8D" w:rsidRPr="0023628B">
                <w:rPr>
                  <w:rStyle w:val="Hyperlink"/>
                </w:rPr>
                <w:t>Pharmacovigilance Officer</w:t>
              </w:r>
              <w:r w:rsidR="00436A8D">
                <w:rPr>
                  <w:webHidden/>
                </w:rPr>
                <w:tab/>
              </w:r>
              <w:r w:rsidR="00436A8D">
                <w:rPr>
                  <w:webHidden/>
                </w:rPr>
                <w:fldChar w:fldCharType="begin"/>
              </w:r>
              <w:r w:rsidR="00436A8D">
                <w:rPr>
                  <w:webHidden/>
                </w:rPr>
                <w:instrText xml:space="preserve"> PAGEREF _Toc5282783 \h </w:instrText>
              </w:r>
              <w:r w:rsidR="00436A8D">
                <w:rPr>
                  <w:webHidden/>
                </w:rPr>
              </w:r>
              <w:r w:rsidR="00436A8D">
                <w:rPr>
                  <w:webHidden/>
                </w:rPr>
                <w:fldChar w:fldCharType="separate"/>
              </w:r>
              <w:r w:rsidR="00436A8D">
                <w:rPr>
                  <w:webHidden/>
                </w:rPr>
                <w:t>8</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84" w:history="1">
              <w:r w:rsidR="00436A8D" w:rsidRPr="0023628B">
                <w:rPr>
                  <w:rStyle w:val="Hyperlink"/>
                </w:rPr>
                <w:t>3.3</w:t>
              </w:r>
              <w:r w:rsidR="00436A8D">
                <w:rPr>
                  <w:rFonts w:asciiTheme="minorHAnsi" w:eastAsiaTheme="minorEastAsia" w:hAnsiTheme="minorHAnsi" w:cstheme="minorBidi"/>
                  <w:sz w:val="22"/>
                  <w:szCs w:val="22"/>
                  <w:lang w:val="en-ZA" w:eastAsia="en-ZA"/>
                </w:rPr>
                <w:tab/>
              </w:r>
              <w:r w:rsidR="00436A8D" w:rsidRPr="0023628B">
                <w:rPr>
                  <w:rStyle w:val="Hyperlink"/>
                </w:rPr>
                <w:t>Contractual Arrangements</w:t>
              </w:r>
              <w:r w:rsidR="00436A8D">
                <w:rPr>
                  <w:webHidden/>
                </w:rPr>
                <w:tab/>
              </w:r>
              <w:r w:rsidR="00436A8D">
                <w:rPr>
                  <w:webHidden/>
                </w:rPr>
                <w:fldChar w:fldCharType="begin"/>
              </w:r>
              <w:r w:rsidR="00436A8D">
                <w:rPr>
                  <w:webHidden/>
                </w:rPr>
                <w:instrText xml:space="preserve"> PAGEREF _Toc5282784 \h </w:instrText>
              </w:r>
              <w:r w:rsidR="00436A8D">
                <w:rPr>
                  <w:webHidden/>
                </w:rPr>
              </w:r>
              <w:r w:rsidR="00436A8D">
                <w:rPr>
                  <w:webHidden/>
                </w:rPr>
                <w:fldChar w:fldCharType="separate"/>
              </w:r>
              <w:r w:rsidR="00436A8D">
                <w:rPr>
                  <w:webHidden/>
                </w:rPr>
                <w:t>9</w:t>
              </w:r>
              <w:r w:rsidR="00436A8D">
                <w:rPr>
                  <w:webHidden/>
                </w:rPr>
                <w:fldChar w:fldCharType="end"/>
              </w:r>
            </w:hyperlink>
          </w:p>
          <w:p w:rsidR="00436A8D" w:rsidRDefault="00021093">
            <w:pPr>
              <w:pStyle w:val="TOC1"/>
              <w:rPr>
                <w:rFonts w:asciiTheme="minorHAnsi" w:eastAsiaTheme="minorEastAsia" w:hAnsiTheme="minorHAnsi" w:cstheme="minorBidi"/>
                <w:b w:val="0"/>
                <w:noProof/>
                <w:sz w:val="22"/>
                <w:szCs w:val="22"/>
                <w:lang w:val="en-ZA" w:eastAsia="en-ZA"/>
              </w:rPr>
            </w:pPr>
            <w:hyperlink w:anchor="_Toc5282785" w:history="1">
              <w:r w:rsidR="00436A8D" w:rsidRPr="0023628B">
                <w:rPr>
                  <w:rStyle w:val="Hyperlink"/>
                  <w:noProof/>
                </w:rPr>
                <w:t>4</w:t>
              </w:r>
              <w:r w:rsidR="00436A8D">
                <w:rPr>
                  <w:rFonts w:asciiTheme="minorHAnsi" w:eastAsiaTheme="minorEastAsia" w:hAnsiTheme="minorHAnsi" w:cstheme="minorBidi"/>
                  <w:b w:val="0"/>
                  <w:noProof/>
                  <w:sz w:val="22"/>
                  <w:szCs w:val="22"/>
                  <w:lang w:val="en-ZA" w:eastAsia="en-ZA"/>
                </w:rPr>
                <w:tab/>
              </w:r>
              <w:r w:rsidR="00436A8D" w:rsidRPr="0023628B">
                <w:rPr>
                  <w:rStyle w:val="Hyperlink"/>
                  <w:noProof/>
                </w:rPr>
                <w:t>ADVERSE DRUG REACTION REPORTS</w:t>
              </w:r>
              <w:r w:rsidR="00436A8D">
                <w:rPr>
                  <w:noProof/>
                  <w:webHidden/>
                </w:rPr>
                <w:tab/>
              </w:r>
              <w:r w:rsidR="00436A8D">
                <w:rPr>
                  <w:noProof/>
                  <w:webHidden/>
                </w:rPr>
                <w:fldChar w:fldCharType="begin"/>
              </w:r>
              <w:r w:rsidR="00436A8D">
                <w:rPr>
                  <w:noProof/>
                  <w:webHidden/>
                </w:rPr>
                <w:instrText xml:space="preserve"> PAGEREF _Toc5282785 \h </w:instrText>
              </w:r>
              <w:r w:rsidR="00436A8D">
                <w:rPr>
                  <w:noProof/>
                  <w:webHidden/>
                </w:rPr>
              </w:r>
              <w:r w:rsidR="00436A8D">
                <w:rPr>
                  <w:noProof/>
                  <w:webHidden/>
                </w:rPr>
                <w:fldChar w:fldCharType="separate"/>
              </w:r>
              <w:r w:rsidR="00436A8D">
                <w:rPr>
                  <w:noProof/>
                  <w:webHidden/>
                </w:rPr>
                <w:t>9</w:t>
              </w:r>
              <w:r w:rsidR="00436A8D">
                <w:rPr>
                  <w:noProof/>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86" w:history="1">
              <w:r w:rsidR="00436A8D" w:rsidRPr="0023628B">
                <w:rPr>
                  <w:rStyle w:val="Hyperlink"/>
                </w:rPr>
                <w:t>4.1</w:t>
              </w:r>
              <w:r w:rsidR="00436A8D">
                <w:rPr>
                  <w:rFonts w:asciiTheme="minorHAnsi" w:eastAsiaTheme="minorEastAsia" w:hAnsiTheme="minorHAnsi" w:cstheme="minorBidi"/>
                  <w:sz w:val="22"/>
                  <w:szCs w:val="22"/>
                  <w:lang w:val="en-ZA" w:eastAsia="en-ZA"/>
                </w:rPr>
                <w:tab/>
              </w:r>
              <w:r w:rsidR="00436A8D" w:rsidRPr="0023628B">
                <w:rPr>
                  <w:rStyle w:val="Hyperlink"/>
                </w:rPr>
                <w:t>Time frames for ADRs occurring in South Africa</w:t>
              </w:r>
              <w:r w:rsidR="00436A8D">
                <w:rPr>
                  <w:webHidden/>
                </w:rPr>
                <w:tab/>
              </w:r>
              <w:r w:rsidR="00436A8D">
                <w:rPr>
                  <w:webHidden/>
                </w:rPr>
                <w:fldChar w:fldCharType="begin"/>
              </w:r>
              <w:r w:rsidR="00436A8D">
                <w:rPr>
                  <w:webHidden/>
                </w:rPr>
                <w:instrText xml:space="preserve"> PAGEREF _Toc5282786 \h </w:instrText>
              </w:r>
              <w:r w:rsidR="00436A8D">
                <w:rPr>
                  <w:webHidden/>
                </w:rPr>
              </w:r>
              <w:r w:rsidR="00436A8D">
                <w:rPr>
                  <w:webHidden/>
                </w:rPr>
                <w:fldChar w:fldCharType="separate"/>
              </w:r>
              <w:r w:rsidR="00436A8D">
                <w:rPr>
                  <w:webHidden/>
                </w:rPr>
                <w:t>9</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87" w:history="1">
              <w:r w:rsidR="00436A8D" w:rsidRPr="0023628B">
                <w:rPr>
                  <w:rStyle w:val="Hyperlink"/>
                </w:rPr>
                <w:t>4.2</w:t>
              </w:r>
              <w:r w:rsidR="00436A8D">
                <w:rPr>
                  <w:rFonts w:asciiTheme="minorHAnsi" w:eastAsiaTheme="minorEastAsia" w:hAnsiTheme="minorHAnsi" w:cstheme="minorBidi"/>
                  <w:sz w:val="22"/>
                  <w:szCs w:val="22"/>
                  <w:lang w:val="en-ZA" w:eastAsia="en-ZA"/>
                </w:rPr>
                <w:tab/>
              </w:r>
              <w:r w:rsidR="00436A8D" w:rsidRPr="0023628B">
                <w:rPr>
                  <w:rStyle w:val="Hyperlink"/>
                </w:rPr>
                <w:t>Time frames for reactions occurring outside South Africa</w:t>
              </w:r>
              <w:r w:rsidR="00436A8D">
                <w:rPr>
                  <w:webHidden/>
                </w:rPr>
                <w:tab/>
              </w:r>
              <w:r w:rsidR="00436A8D">
                <w:rPr>
                  <w:webHidden/>
                </w:rPr>
                <w:fldChar w:fldCharType="begin"/>
              </w:r>
              <w:r w:rsidR="00436A8D">
                <w:rPr>
                  <w:webHidden/>
                </w:rPr>
                <w:instrText xml:space="preserve"> PAGEREF _Toc5282787 \h </w:instrText>
              </w:r>
              <w:r w:rsidR="00436A8D">
                <w:rPr>
                  <w:webHidden/>
                </w:rPr>
              </w:r>
              <w:r w:rsidR="00436A8D">
                <w:rPr>
                  <w:webHidden/>
                </w:rPr>
                <w:fldChar w:fldCharType="separate"/>
              </w:r>
              <w:r w:rsidR="00436A8D">
                <w:rPr>
                  <w:webHidden/>
                </w:rPr>
                <w:t>10</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88" w:history="1">
              <w:r w:rsidR="00436A8D" w:rsidRPr="0023628B">
                <w:rPr>
                  <w:rStyle w:val="Hyperlink"/>
                </w:rPr>
                <w:t>4.3</w:t>
              </w:r>
              <w:r w:rsidR="00436A8D">
                <w:rPr>
                  <w:rFonts w:asciiTheme="minorHAnsi" w:eastAsiaTheme="minorEastAsia" w:hAnsiTheme="minorHAnsi" w:cstheme="minorBidi"/>
                  <w:sz w:val="22"/>
                  <w:szCs w:val="22"/>
                  <w:lang w:val="en-ZA" w:eastAsia="en-ZA"/>
                </w:rPr>
                <w:tab/>
              </w:r>
              <w:r w:rsidR="00436A8D" w:rsidRPr="0023628B">
                <w:rPr>
                  <w:rStyle w:val="Hyperlink"/>
                </w:rPr>
                <w:t>Periodic Safety Update Reports/ Periodic Benefit-Risk Evaluation Reports</w:t>
              </w:r>
              <w:r w:rsidR="00436A8D">
                <w:rPr>
                  <w:webHidden/>
                </w:rPr>
                <w:tab/>
              </w:r>
              <w:r w:rsidR="00436A8D">
                <w:rPr>
                  <w:webHidden/>
                </w:rPr>
                <w:fldChar w:fldCharType="begin"/>
              </w:r>
              <w:r w:rsidR="00436A8D">
                <w:rPr>
                  <w:webHidden/>
                </w:rPr>
                <w:instrText xml:space="preserve"> PAGEREF _Toc5282788 \h </w:instrText>
              </w:r>
              <w:r w:rsidR="00436A8D">
                <w:rPr>
                  <w:webHidden/>
                </w:rPr>
              </w:r>
              <w:r w:rsidR="00436A8D">
                <w:rPr>
                  <w:webHidden/>
                </w:rPr>
                <w:fldChar w:fldCharType="separate"/>
              </w:r>
              <w:r w:rsidR="00436A8D">
                <w:rPr>
                  <w:webHidden/>
                </w:rPr>
                <w:t>10</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89" w:history="1">
              <w:r w:rsidR="00436A8D" w:rsidRPr="0023628B">
                <w:rPr>
                  <w:rStyle w:val="Hyperlink"/>
                </w:rPr>
                <w:t>4.4</w:t>
              </w:r>
              <w:r w:rsidR="00436A8D">
                <w:rPr>
                  <w:rFonts w:asciiTheme="minorHAnsi" w:eastAsiaTheme="minorEastAsia" w:hAnsiTheme="minorHAnsi" w:cstheme="minorBidi"/>
                  <w:sz w:val="22"/>
                  <w:szCs w:val="22"/>
                  <w:lang w:val="en-ZA" w:eastAsia="en-ZA"/>
                </w:rPr>
                <w:tab/>
              </w:r>
              <w:r w:rsidR="00436A8D" w:rsidRPr="0023628B">
                <w:rPr>
                  <w:rStyle w:val="Hyperlink"/>
                </w:rPr>
                <w:t>South African Case Reports from Published Scientific Literature:</w:t>
              </w:r>
              <w:r w:rsidR="00436A8D">
                <w:rPr>
                  <w:webHidden/>
                </w:rPr>
                <w:tab/>
              </w:r>
              <w:r w:rsidR="00436A8D">
                <w:rPr>
                  <w:webHidden/>
                </w:rPr>
                <w:fldChar w:fldCharType="begin"/>
              </w:r>
              <w:r w:rsidR="00436A8D">
                <w:rPr>
                  <w:webHidden/>
                </w:rPr>
                <w:instrText xml:space="preserve"> PAGEREF _Toc5282789 \h </w:instrText>
              </w:r>
              <w:r w:rsidR="00436A8D">
                <w:rPr>
                  <w:webHidden/>
                </w:rPr>
              </w:r>
              <w:r w:rsidR="00436A8D">
                <w:rPr>
                  <w:webHidden/>
                </w:rPr>
                <w:fldChar w:fldCharType="separate"/>
              </w:r>
              <w:r w:rsidR="00436A8D">
                <w:rPr>
                  <w:webHidden/>
                </w:rPr>
                <w:t>10</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90" w:history="1">
              <w:r w:rsidR="00436A8D" w:rsidRPr="0023628B">
                <w:rPr>
                  <w:rStyle w:val="Hyperlink"/>
                </w:rPr>
                <w:t>4.5</w:t>
              </w:r>
              <w:r w:rsidR="00436A8D">
                <w:rPr>
                  <w:rFonts w:asciiTheme="minorHAnsi" w:eastAsiaTheme="minorEastAsia" w:hAnsiTheme="minorHAnsi" w:cstheme="minorBidi"/>
                  <w:sz w:val="22"/>
                  <w:szCs w:val="22"/>
                  <w:lang w:val="en-ZA" w:eastAsia="en-ZA"/>
                </w:rPr>
                <w:tab/>
              </w:r>
              <w:r w:rsidR="00436A8D" w:rsidRPr="0023628B">
                <w:rPr>
                  <w:rStyle w:val="Hyperlink"/>
                </w:rPr>
                <w:t>Reports from Post-Registration Studies</w:t>
              </w:r>
              <w:r w:rsidR="00436A8D">
                <w:rPr>
                  <w:webHidden/>
                </w:rPr>
                <w:tab/>
              </w:r>
              <w:r w:rsidR="00436A8D">
                <w:rPr>
                  <w:webHidden/>
                </w:rPr>
                <w:fldChar w:fldCharType="begin"/>
              </w:r>
              <w:r w:rsidR="00436A8D">
                <w:rPr>
                  <w:webHidden/>
                </w:rPr>
                <w:instrText xml:space="preserve"> PAGEREF _Toc5282790 \h </w:instrText>
              </w:r>
              <w:r w:rsidR="00436A8D">
                <w:rPr>
                  <w:webHidden/>
                </w:rPr>
              </w:r>
              <w:r w:rsidR="00436A8D">
                <w:rPr>
                  <w:webHidden/>
                </w:rPr>
                <w:fldChar w:fldCharType="separate"/>
              </w:r>
              <w:r w:rsidR="00436A8D">
                <w:rPr>
                  <w:webHidden/>
                </w:rPr>
                <w:t>11</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91" w:history="1">
              <w:r w:rsidR="00436A8D" w:rsidRPr="0023628B">
                <w:rPr>
                  <w:rStyle w:val="Hyperlink"/>
                </w:rPr>
                <w:t>4.6</w:t>
              </w:r>
              <w:r w:rsidR="00436A8D">
                <w:rPr>
                  <w:rFonts w:asciiTheme="minorHAnsi" w:eastAsiaTheme="minorEastAsia" w:hAnsiTheme="minorHAnsi" w:cstheme="minorBidi"/>
                  <w:sz w:val="22"/>
                  <w:szCs w:val="22"/>
                  <w:lang w:val="en-ZA" w:eastAsia="en-ZA"/>
                </w:rPr>
                <w:tab/>
              </w:r>
              <w:r w:rsidR="00436A8D" w:rsidRPr="0023628B">
                <w:rPr>
                  <w:rStyle w:val="Hyperlink"/>
                </w:rPr>
                <w:t>On-Going Pharmacovigilance Evaluation</w:t>
              </w:r>
              <w:r w:rsidR="00436A8D">
                <w:rPr>
                  <w:webHidden/>
                </w:rPr>
                <w:tab/>
              </w:r>
              <w:r w:rsidR="00436A8D">
                <w:rPr>
                  <w:webHidden/>
                </w:rPr>
                <w:fldChar w:fldCharType="begin"/>
              </w:r>
              <w:r w:rsidR="00436A8D">
                <w:rPr>
                  <w:webHidden/>
                </w:rPr>
                <w:instrText xml:space="preserve"> PAGEREF _Toc5282791 \h </w:instrText>
              </w:r>
              <w:r w:rsidR="00436A8D">
                <w:rPr>
                  <w:webHidden/>
                </w:rPr>
              </w:r>
              <w:r w:rsidR="00436A8D">
                <w:rPr>
                  <w:webHidden/>
                </w:rPr>
                <w:fldChar w:fldCharType="separate"/>
              </w:r>
              <w:r w:rsidR="00436A8D">
                <w:rPr>
                  <w:webHidden/>
                </w:rPr>
                <w:t>11</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92" w:history="1">
              <w:r w:rsidR="00436A8D" w:rsidRPr="0023628B">
                <w:rPr>
                  <w:rStyle w:val="Hyperlink"/>
                </w:rPr>
                <w:t>4.7</w:t>
              </w:r>
              <w:r w:rsidR="00436A8D">
                <w:rPr>
                  <w:rFonts w:asciiTheme="minorHAnsi" w:eastAsiaTheme="minorEastAsia" w:hAnsiTheme="minorHAnsi" w:cstheme="minorBidi"/>
                  <w:sz w:val="22"/>
                  <w:szCs w:val="22"/>
                  <w:lang w:val="en-ZA" w:eastAsia="en-ZA"/>
                </w:rPr>
                <w:tab/>
              </w:r>
              <w:r w:rsidR="00436A8D" w:rsidRPr="0023628B">
                <w:rPr>
                  <w:rStyle w:val="Hyperlink"/>
                </w:rPr>
                <w:t>Consumer Reports</w:t>
              </w:r>
              <w:r w:rsidR="00436A8D">
                <w:rPr>
                  <w:webHidden/>
                </w:rPr>
                <w:tab/>
              </w:r>
              <w:r w:rsidR="00436A8D">
                <w:rPr>
                  <w:webHidden/>
                </w:rPr>
                <w:fldChar w:fldCharType="begin"/>
              </w:r>
              <w:r w:rsidR="00436A8D">
                <w:rPr>
                  <w:webHidden/>
                </w:rPr>
                <w:instrText xml:space="preserve"> PAGEREF _Toc5282792 \h </w:instrText>
              </w:r>
              <w:r w:rsidR="00436A8D">
                <w:rPr>
                  <w:webHidden/>
                </w:rPr>
              </w:r>
              <w:r w:rsidR="00436A8D">
                <w:rPr>
                  <w:webHidden/>
                </w:rPr>
                <w:fldChar w:fldCharType="separate"/>
              </w:r>
              <w:r w:rsidR="00436A8D">
                <w:rPr>
                  <w:webHidden/>
                </w:rPr>
                <w:t>12</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93" w:history="1">
              <w:r w:rsidR="00436A8D" w:rsidRPr="0023628B">
                <w:rPr>
                  <w:rStyle w:val="Hyperlink"/>
                </w:rPr>
                <w:t>4.8</w:t>
              </w:r>
              <w:r w:rsidR="00436A8D">
                <w:rPr>
                  <w:rFonts w:asciiTheme="minorHAnsi" w:eastAsiaTheme="minorEastAsia" w:hAnsiTheme="minorHAnsi" w:cstheme="minorBidi"/>
                  <w:sz w:val="22"/>
                  <w:szCs w:val="22"/>
                  <w:lang w:val="en-ZA" w:eastAsia="en-ZA"/>
                </w:rPr>
                <w:tab/>
              </w:r>
              <w:r w:rsidR="00436A8D" w:rsidRPr="0023628B">
                <w:rPr>
                  <w:rStyle w:val="Hyperlink"/>
                </w:rPr>
                <w:t>Reports relating to pregnancy and breastfeeding</w:t>
              </w:r>
              <w:r w:rsidR="00436A8D">
                <w:rPr>
                  <w:webHidden/>
                </w:rPr>
                <w:tab/>
              </w:r>
              <w:r w:rsidR="00436A8D">
                <w:rPr>
                  <w:webHidden/>
                </w:rPr>
                <w:fldChar w:fldCharType="begin"/>
              </w:r>
              <w:r w:rsidR="00436A8D">
                <w:rPr>
                  <w:webHidden/>
                </w:rPr>
                <w:instrText xml:space="preserve"> PAGEREF _Toc5282793 \h </w:instrText>
              </w:r>
              <w:r w:rsidR="00436A8D">
                <w:rPr>
                  <w:webHidden/>
                </w:rPr>
              </w:r>
              <w:r w:rsidR="00436A8D">
                <w:rPr>
                  <w:webHidden/>
                </w:rPr>
                <w:fldChar w:fldCharType="separate"/>
              </w:r>
              <w:r w:rsidR="00436A8D">
                <w:rPr>
                  <w:webHidden/>
                </w:rPr>
                <w:t>12</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94" w:history="1">
              <w:r w:rsidR="00436A8D" w:rsidRPr="0023628B">
                <w:rPr>
                  <w:rStyle w:val="Hyperlink"/>
                </w:rPr>
                <w:t>4.9</w:t>
              </w:r>
              <w:r w:rsidR="00436A8D">
                <w:rPr>
                  <w:rFonts w:asciiTheme="minorHAnsi" w:eastAsiaTheme="minorEastAsia" w:hAnsiTheme="minorHAnsi" w:cstheme="minorBidi"/>
                  <w:sz w:val="22"/>
                  <w:szCs w:val="22"/>
                  <w:lang w:val="en-ZA" w:eastAsia="en-ZA"/>
                </w:rPr>
                <w:tab/>
              </w:r>
              <w:r w:rsidR="00436A8D" w:rsidRPr="0023628B">
                <w:rPr>
                  <w:rStyle w:val="Hyperlink"/>
                </w:rPr>
                <w:t>Teratogenicity and Congenital Anomalies</w:t>
              </w:r>
              <w:r w:rsidR="00436A8D">
                <w:rPr>
                  <w:webHidden/>
                </w:rPr>
                <w:tab/>
              </w:r>
              <w:r w:rsidR="00436A8D">
                <w:rPr>
                  <w:webHidden/>
                </w:rPr>
                <w:fldChar w:fldCharType="begin"/>
              </w:r>
              <w:r w:rsidR="00436A8D">
                <w:rPr>
                  <w:webHidden/>
                </w:rPr>
                <w:instrText xml:space="preserve"> PAGEREF _Toc5282794 \h </w:instrText>
              </w:r>
              <w:r w:rsidR="00436A8D">
                <w:rPr>
                  <w:webHidden/>
                </w:rPr>
              </w:r>
              <w:r w:rsidR="00436A8D">
                <w:rPr>
                  <w:webHidden/>
                </w:rPr>
                <w:fldChar w:fldCharType="separate"/>
              </w:r>
              <w:r w:rsidR="00436A8D">
                <w:rPr>
                  <w:webHidden/>
                </w:rPr>
                <w:t>12</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95" w:history="1">
              <w:r w:rsidR="00436A8D" w:rsidRPr="0023628B">
                <w:rPr>
                  <w:rStyle w:val="Hyperlink"/>
                </w:rPr>
                <w:t>4.10</w:t>
              </w:r>
              <w:r w:rsidR="00436A8D">
                <w:rPr>
                  <w:rFonts w:asciiTheme="minorHAnsi" w:eastAsiaTheme="minorEastAsia" w:hAnsiTheme="minorHAnsi" w:cstheme="minorBidi"/>
                  <w:sz w:val="22"/>
                  <w:szCs w:val="22"/>
                  <w:lang w:val="en-ZA" w:eastAsia="en-ZA"/>
                </w:rPr>
                <w:tab/>
              </w:r>
              <w:r w:rsidR="00436A8D" w:rsidRPr="0023628B">
                <w:rPr>
                  <w:rStyle w:val="Hyperlink"/>
                </w:rPr>
                <w:t>Reports of lack of efficacy</w:t>
              </w:r>
              <w:r w:rsidR="00436A8D">
                <w:rPr>
                  <w:webHidden/>
                </w:rPr>
                <w:tab/>
              </w:r>
              <w:r w:rsidR="00436A8D">
                <w:rPr>
                  <w:webHidden/>
                </w:rPr>
                <w:fldChar w:fldCharType="begin"/>
              </w:r>
              <w:r w:rsidR="00436A8D">
                <w:rPr>
                  <w:webHidden/>
                </w:rPr>
                <w:instrText xml:space="preserve"> PAGEREF _Toc5282795 \h </w:instrText>
              </w:r>
              <w:r w:rsidR="00436A8D">
                <w:rPr>
                  <w:webHidden/>
                </w:rPr>
              </w:r>
              <w:r w:rsidR="00436A8D">
                <w:rPr>
                  <w:webHidden/>
                </w:rPr>
                <w:fldChar w:fldCharType="separate"/>
              </w:r>
              <w:r w:rsidR="00436A8D">
                <w:rPr>
                  <w:webHidden/>
                </w:rPr>
                <w:t>12</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96" w:history="1">
              <w:r w:rsidR="00436A8D" w:rsidRPr="0023628B">
                <w:rPr>
                  <w:rStyle w:val="Hyperlink"/>
                </w:rPr>
                <w:t>4.11</w:t>
              </w:r>
              <w:r w:rsidR="00436A8D">
                <w:rPr>
                  <w:rFonts w:asciiTheme="minorHAnsi" w:eastAsiaTheme="minorEastAsia" w:hAnsiTheme="minorHAnsi" w:cstheme="minorBidi"/>
                  <w:sz w:val="22"/>
                  <w:szCs w:val="22"/>
                  <w:lang w:val="en-ZA" w:eastAsia="en-ZA"/>
                </w:rPr>
                <w:tab/>
              </w:r>
              <w:r w:rsidR="00436A8D" w:rsidRPr="0023628B">
                <w:rPr>
                  <w:rStyle w:val="Hyperlink"/>
                </w:rPr>
                <w:t>Overdose</w:t>
              </w:r>
              <w:r w:rsidR="00436A8D">
                <w:rPr>
                  <w:webHidden/>
                </w:rPr>
                <w:tab/>
              </w:r>
              <w:r w:rsidR="00436A8D">
                <w:rPr>
                  <w:webHidden/>
                </w:rPr>
                <w:fldChar w:fldCharType="begin"/>
              </w:r>
              <w:r w:rsidR="00436A8D">
                <w:rPr>
                  <w:webHidden/>
                </w:rPr>
                <w:instrText xml:space="preserve"> PAGEREF _Toc5282796 \h </w:instrText>
              </w:r>
              <w:r w:rsidR="00436A8D">
                <w:rPr>
                  <w:webHidden/>
                </w:rPr>
              </w:r>
              <w:r w:rsidR="00436A8D">
                <w:rPr>
                  <w:webHidden/>
                </w:rPr>
                <w:fldChar w:fldCharType="separate"/>
              </w:r>
              <w:r w:rsidR="00436A8D">
                <w:rPr>
                  <w:webHidden/>
                </w:rPr>
                <w:t>13</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97" w:history="1">
              <w:r w:rsidR="00436A8D" w:rsidRPr="0023628B">
                <w:rPr>
                  <w:rStyle w:val="Hyperlink"/>
                </w:rPr>
                <w:t>4.12</w:t>
              </w:r>
              <w:r w:rsidR="00436A8D">
                <w:rPr>
                  <w:rFonts w:asciiTheme="minorHAnsi" w:eastAsiaTheme="minorEastAsia" w:hAnsiTheme="minorHAnsi" w:cstheme="minorBidi"/>
                  <w:sz w:val="22"/>
                  <w:szCs w:val="22"/>
                  <w:lang w:val="en-ZA" w:eastAsia="en-ZA"/>
                </w:rPr>
                <w:tab/>
              </w:r>
              <w:r w:rsidR="00436A8D" w:rsidRPr="0023628B">
                <w:rPr>
                  <w:rStyle w:val="Hyperlink"/>
                </w:rPr>
                <w:t>Medication Errors</w:t>
              </w:r>
              <w:r w:rsidR="00436A8D">
                <w:rPr>
                  <w:webHidden/>
                </w:rPr>
                <w:tab/>
              </w:r>
              <w:r w:rsidR="00436A8D">
                <w:rPr>
                  <w:webHidden/>
                </w:rPr>
                <w:fldChar w:fldCharType="begin"/>
              </w:r>
              <w:r w:rsidR="00436A8D">
                <w:rPr>
                  <w:webHidden/>
                </w:rPr>
                <w:instrText xml:space="preserve"> PAGEREF _Toc5282797 \h </w:instrText>
              </w:r>
              <w:r w:rsidR="00436A8D">
                <w:rPr>
                  <w:webHidden/>
                </w:rPr>
              </w:r>
              <w:r w:rsidR="00436A8D">
                <w:rPr>
                  <w:webHidden/>
                </w:rPr>
                <w:fldChar w:fldCharType="separate"/>
              </w:r>
              <w:r w:rsidR="00436A8D">
                <w:rPr>
                  <w:webHidden/>
                </w:rPr>
                <w:t>13</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98" w:history="1">
              <w:r w:rsidR="00436A8D" w:rsidRPr="0023628B">
                <w:rPr>
                  <w:rStyle w:val="Hyperlink"/>
                </w:rPr>
                <w:t>4.13</w:t>
              </w:r>
              <w:r w:rsidR="00436A8D">
                <w:rPr>
                  <w:rFonts w:asciiTheme="minorHAnsi" w:eastAsiaTheme="minorEastAsia" w:hAnsiTheme="minorHAnsi" w:cstheme="minorBidi"/>
                  <w:sz w:val="22"/>
                  <w:szCs w:val="22"/>
                  <w:lang w:val="en-ZA" w:eastAsia="en-ZA"/>
                </w:rPr>
                <w:tab/>
              </w:r>
              <w:r w:rsidR="00436A8D" w:rsidRPr="0023628B">
                <w:rPr>
                  <w:rStyle w:val="Hyperlink"/>
                </w:rPr>
                <w:t>Medicine Defects</w:t>
              </w:r>
              <w:r w:rsidR="00436A8D">
                <w:rPr>
                  <w:webHidden/>
                </w:rPr>
                <w:tab/>
              </w:r>
              <w:r w:rsidR="00436A8D">
                <w:rPr>
                  <w:webHidden/>
                </w:rPr>
                <w:fldChar w:fldCharType="begin"/>
              </w:r>
              <w:r w:rsidR="00436A8D">
                <w:rPr>
                  <w:webHidden/>
                </w:rPr>
                <w:instrText xml:space="preserve"> PAGEREF _Toc5282798 \h </w:instrText>
              </w:r>
              <w:r w:rsidR="00436A8D">
                <w:rPr>
                  <w:webHidden/>
                </w:rPr>
              </w:r>
              <w:r w:rsidR="00436A8D">
                <w:rPr>
                  <w:webHidden/>
                </w:rPr>
                <w:fldChar w:fldCharType="separate"/>
              </w:r>
              <w:r w:rsidR="00436A8D">
                <w:rPr>
                  <w:webHidden/>
                </w:rPr>
                <w:t>13</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799" w:history="1">
              <w:r w:rsidR="00436A8D" w:rsidRPr="0023628B">
                <w:rPr>
                  <w:rStyle w:val="Hyperlink"/>
                </w:rPr>
                <w:t>4.14</w:t>
              </w:r>
              <w:r w:rsidR="00436A8D">
                <w:rPr>
                  <w:rFonts w:asciiTheme="minorHAnsi" w:eastAsiaTheme="minorEastAsia" w:hAnsiTheme="minorHAnsi" w:cstheme="minorBidi"/>
                  <w:sz w:val="22"/>
                  <w:szCs w:val="22"/>
                  <w:lang w:val="en-ZA" w:eastAsia="en-ZA"/>
                </w:rPr>
                <w:tab/>
              </w:r>
              <w:r w:rsidR="00436A8D" w:rsidRPr="0023628B">
                <w:rPr>
                  <w:rStyle w:val="Hyperlink"/>
                </w:rPr>
                <w:t>Interactions</w:t>
              </w:r>
              <w:r w:rsidR="00436A8D">
                <w:rPr>
                  <w:webHidden/>
                </w:rPr>
                <w:tab/>
              </w:r>
              <w:r w:rsidR="00436A8D">
                <w:rPr>
                  <w:webHidden/>
                </w:rPr>
                <w:fldChar w:fldCharType="begin"/>
              </w:r>
              <w:r w:rsidR="00436A8D">
                <w:rPr>
                  <w:webHidden/>
                </w:rPr>
                <w:instrText xml:space="preserve"> PAGEREF _Toc5282799 \h </w:instrText>
              </w:r>
              <w:r w:rsidR="00436A8D">
                <w:rPr>
                  <w:webHidden/>
                </w:rPr>
              </w:r>
              <w:r w:rsidR="00436A8D">
                <w:rPr>
                  <w:webHidden/>
                </w:rPr>
                <w:fldChar w:fldCharType="separate"/>
              </w:r>
              <w:r w:rsidR="00436A8D">
                <w:rPr>
                  <w:webHidden/>
                </w:rPr>
                <w:t>13</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800" w:history="1">
              <w:r w:rsidR="00436A8D" w:rsidRPr="0023628B">
                <w:rPr>
                  <w:rStyle w:val="Hyperlink"/>
                </w:rPr>
                <w:t>4.15</w:t>
              </w:r>
              <w:r w:rsidR="00436A8D">
                <w:rPr>
                  <w:rFonts w:asciiTheme="minorHAnsi" w:eastAsiaTheme="minorEastAsia" w:hAnsiTheme="minorHAnsi" w:cstheme="minorBidi"/>
                  <w:sz w:val="22"/>
                  <w:szCs w:val="22"/>
                  <w:lang w:val="en-ZA" w:eastAsia="en-ZA"/>
                </w:rPr>
                <w:tab/>
              </w:r>
              <w:r w:rsidR="00436A8D" w:rsidRPr="0023628B">
                <w:rPr>
                  <w:rStyle w:val="Hyperlink"/>
                </w:rPr>
                <w:t>Adverse Reaction Reports from the Internet</w:t>
              </w:r>
              <w:r w:rsidR="00436A8D">
                <w:rPr>
                  <w:webHidden/>
                </w:rPr>
                <w:tab/>
              </w:r>
              <w:r w:rsidR="00436A8D">
                <w:rPr>
                  <w:webHidden/>
                </w:rPr>
                <w:fldChar w:fldCharType="begin"/>
              </w:r>
              <w:r w:rsidR="00436A8D">
                <w:rPr>
                  <w:webHidden/>
                </w:rPr>
                <w:instrText xml:space="preserve"> PAGEREF _Toc5282800 \h </w:instrText>
              </w:r>
              <w:r w:rsidR="00436A8D">
                <w:rPr>
                  <w:webHidden/>
                </w:rPr>
              </w:r>
              <w:r w:rsidR="00436A8D">
                <w:rPr>
                  <w:webHidden/>
                </w:rPr>
                <w:fldChar w:fldCharType="separate"/>
              </w:r>
              <w:r w:rsidR="00436A8D">
                <w:rPr>
                  <w:webHidden/>
                </w:rPr>
                <w:t>13</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801" w:history="1">
              <w:r w:rsidR="00436A8D" w:rsidRPr="0023628B">
                <w:rPr>
                  <w:rStyle w:val="Hyperlink"/>
                </w:rPr>
                <w:t>4.16</w:t>
              </w:r>
              <w:r w:rsidR="00436A8D">
                <w:rPr>
                  <w:rFonts w:asciiTheme="minorHAnsi" w:eastAsiaTheme="minorEastAsia" w:hAnsiTheme="minorHAnsi" w:cstheme="minorBidi"/>
                  <w:sz w:val="22"/>
                  <w:szCs w:val="22"/>
                  <w:lang w:val="en-ZA" w:eastAsia="en-ZA"/>
                </w:rPr>
                <w:tab/>
              </w:r>
              <w:r w:rsidR="00436A8D" w:rsidRPr="0023628B">
                <w:rPr>
                  <w:rStyle w:val="Hyperlink"/>
                </w:rPr>
                <w:t xml:space="preserve">Period after Suspension, Cancellation or Withdrawal of Holder of Certificate of Registration/ </w:t>
              </w:r>
              <w:r w:rsidR="00436A8D" w:rsidRPr="0023628B">
                <w:rPr>
                  <w:rStyle w:val="Hyperlink"/>
                  <w:rFonts w:cs="Arial"/>
                </w:rPr>
                <w:t>Applicant</w:t>
              </w:r>
              <w:r w:rsidR="00436A8D">
                <w:rPr>
                  <w:webHidden/>
                </w:rPr>
                <w:tab/>
              </w:r>
              <w:r w:rsidR="00436A8D">
                <w:rPr>
                  <w:webHidden/>
                </w:rPr>
                <w:fldChar w:fldCharType="begin"/>
              </w:r>
              <w:r w:rsidR="00436A8D">
                <w:rPr>
                  <w:webHidden/>
                </w:rPr>
                <w:instrText xml:space="preserve"> PAGEREF _Toc5282801 \h </w:instrText>
              </w:r>
              <w:r w:rsidR="00436A8D">
                <w:rPr>
                  <w:webHidden/>
                </w:rPr>
              </w:r>
              <w:r w:rsidR="00436A8D">
                <w:rPr>
                  <w:webHidden/>
                </w:rPr>
                <w:fldChar w:fldCharType="separate"/>
              </w:r>
              <w:r w:rsidR="00436A8D">
                <w:rPr>
                  <w:webHidden/>
                </w:rPr>
                <w:t>13</w:t>
              </w:r>
              <w:r w:rsidR="00436A8D">
                <w:rPr>
                  <w:webHidden/>
                </w:rPr>
                <w:fldChar w:fldCharType="end"/>
              </w:r>
            </w:hyperlink>
          </w:p>
          <w:p w:rsidR="00436A8D" w:rsidRDefault="00021093">
            <w:pPr>
              <w:pStyle w:val="TOC1"/>
              <w:rPr>
                <w:rFonts w:asciiTheme="minorHAnsi" w:eastAsiaTheme="minorEastAsia" w:hAnsiTheme="minorHAnsi" w:cstheme="minorBidi"/>
                <w:b w:val="0"/>
                <w:noProof/>
                <w:sz w:val="22"/>
                <w:szCs w:val="22"/>
                <w:lang w:val="en-ZA" w:eastAsia="en-ZA"/>
              </w:rPr>
            </w:pPr>
            <w:hyperlink w:anchor="_Toc5282802" w:history="1">
              <w:r w:rsidR="00436A8D" w:rsidRPr="0023628B">
                <w:rPr>
                  <w:rStyle w:val="Hyperlink"/>
                  <w:noProof/>
                </w:rPr>
                <w:t>5</w:t>
              </w:r>
              <w:r w:rsidR="00436A8D">
                <w:rPr>
                  <w:rFonts w:asciiTheme="minorHAnsi" w:eastAsiaTheme="minorEastAsia" w:hAnsiTheme="minorHAnsi" w:cstheme="minorBidi"/>
                  <w:b w:val="0"/>
                  <w:noProof/>
                  <w:sz w:val="22"/>
                  <w:szCs w:val="22"/>
                  <w:lang w:val="en-ZA" w:eastAsia="en-ZA"/>
                </w:rPr>
                <w:tab/>
              </w:r>
              <w:r w:rsidR="00436A8D" w:rsidRPr="0023628B">
                <w:rPr>
                  <w:rStyle w:val="Hyperlink"/>
                  <w:noProof/>
                </w:rPr>
                <w:t>PROCEDURES FOR REPORTING</w:t>
              </w:r>
              <w:r w:rsidR="00436A8D">
                <w:rPr>
                  <w:noProof/>
                  <w:webHidden/>
                </w:rPr>
                <w:tab/>
              </w:r>
              <w:r w:rsidR="00436A8D">
                <w:rPr>
                  <w:noProof/>
                  <w:webHidden/>
                </w:rPr>
                <w:fldChar w:fldCharType="begin"/>
              </w:r>
              <w:r w:rsidR="00436A8D">
                <w:rPr>
                  <w:noProof/>
                  <w:webHidden/>
                </w:rPr>
                <w:instrText xml:space="preserve"> PAGEREF _Toc5282802 \h </w:instrText>
              </w:r>
              <w:r w:rsidR="00436A8D">
                <w:rPr>
                  <w:noProof/>
                  <w:webHidden/>
                </w:rPr>
              </w:r>
              <w:r w:rsidR="00436A8D">
                <w:rPr>
                  <w:noProof/>
                  <w:webHidden/>
                </w:rPr>
                <w:fldChar w:fldCharType="separate"/>
              </w:r>
              <w:r w:rsidR="00436A8D">
                <w:rPr>
                  <w:noProof/>
                  <w:webHidden/>
                </w:rPr>
                <w:t>14</w:t>
              </w:r>
              <w:r w:rsidR="00436A8D">
                <w:rPr>
                  <w:noProof/>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803" w:history="1">
              <w:r w:rsidR="00436A8D" w:rsidRPr="0023628B">
                <w:rPr>
                  <w:rStyle w:val="Hyperlink"/>
                </w:rPr>
                <w:t>5.1</w:t>
              </w:r>
              <w:r w:rsidR="00436A8D">
                <w:rPr>
                  <w:rFonts w:asciiTheme="minorHAnsi" w:eastAsiaTheme="minorEastAsia" w:hAnsiTheme="minorHAnsi" w:cstheme="minorBidi"/>
                  <w:sz w:val="22"/>
                  <w:szCs w:val="22"/>
                  <w:lang w:val="en-ZA" w:eastAsia="en-ZA"/>
                </w:rPr>
                <w:tab/>
              </w:r>
              <w:r w:rsidR="00436A8D" w:rsidRPr="0023628B">
                <w:rPr>
                  <w:rStyle w:val="Hyperlink"/>
                </w:rPr>
                <w:t>To Whom to Report</w:t>
              </w:r>
              <w:r w:rsidR="00436A8D">
                <w:rPr>
                  <w:webHidden/>
                </w:rPr>
                <w:tab/>
              </w:r>
              <w:r w:rsidR="00436A8D">
                <w:rPr>
                  <w:webHidden/>
                </w:rPr>
                <w:fldChar w:fldCharType="begin"/>
              </w:r>
              <w:r w:rsidR="00436A8D">
                <w:rPr>
                  <w:webHidden/>
                </w:rPr>
                <w:instrText xml:space="preserve"> PAGEREF _Toc5282803 \h </w:instrText>
              </w:r>
              <w:r w:rsidR="00436A8D">
                <w:rPr>
                  <w:webHidden/>
                </w:rPr>
              </w:r>
              <w:r w:rsidR="00436A8D">
                <w:rPr>
                  <w:webHidden/>
                </w:rPr>
                <w:fldChar w:fldCharType="separate"/>
              </w:r>
              <w:r w:rsidR="00436A8D">
                <w:rPr>
                  <w:webHidden/>
                </w:rPr>
                <w:t>14</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804" w:history="1">
              <w:r w:rsidR="00436A8D" w:rsidRPr="0023628B">
                <w:rPr>
                  <w:rStyle w:val="Hyperlink"/>
                </w:rPr>
                <w:t>5.2</w:t>
              </w:r>
              <w:r w:rsidR="00436A8D">
                <w:rPr>
                  <w:rFonts w:asciiTheme="minorHAnsi" w:eastAsiaTheme="minorEastAsia" w:hAnsiTheme="minorHAnsi" w:cstheme="minorBidi"/>
                  <w:sz w:val="22"/>
                  <w:szCs w:val="22"/>
                  <w:lang w:val="en-ZA" w:eastAsia="en-ZA"/>
                </w:rPr>
                <w:tab/>
              </w:r>
              <w:r w:rsidR="00436A8D" w:rsidRPr="0023628B">
                <w:rPr>
                  <w:rStyle w:val="Hyperlink"/>
                </w:rPr>
                <w:t>Route of Notification</w:t>
              </w:r>
              <w:r w:rsidR="00436A8D">
                <w:rPr>
                  <w:webHidden/>
                </w:rPr>
                <w:tab/>
              </w:r>
              <w:r w:rsidR="00436A8D">
                <w:rPr>
                  <w:webHidden/>
                </w:rPr>
                <w:fldChar w:fldCharType="begin"/>
              </w:r>
              <w:r w:rsidR="00436A8D">
                <w:rPr>
                  <w:webHidden/>
                </w:rPr>
                <w:instrText xml:space="preserve"> PAGEREF _Toc5282804 \h </w:instrText>
              </w:r>
              <w:r w:rsidR="00436A8D">
                <w:rPr>
                  <w:webHidden/>
                </w:rPr>
              </w:r>
              <w:r w:rsidR="00436A8D">
                <w:rPr>
                  <w:webHidden/>
                </w:rPr>
                <w:fldChar w:fldCharType="separate"/>
              </w:r>
              <w:r w:rsidR="00436A8D">
                <w:rPr>
                  <w:webHidden/>
                </w:rPr>
                <w:t>14</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805" w:history="1">
              <w:r w:rsidR="00436A8D" w:rsidRPr="0023628B">
                <w:rPr>
                  <w:rStyle w:val="Hyperlink"/>
                </w:rPr>
                <w:t>5.3</w:t>
              </w:r>
              <w:r w:rsidR="00436A8D">
                <w:rPr>
                  <w:rFonts w:asciiTheme="minorHAnsi" w:eastAsiaTheme="minorEastAsia" w:hAnsiTheme="minorHAnsi" w:cstheme="minorBidi"/>
                  <w:sz w:val="22"/>
                  <w:szCs w:val="22"/>
                  <w:lang w:val="en-ZA" w:eastAsia="en-ZA"/>
                </w:rPr>
                <w:tab/>
              </w:r>
              <w:r w:rsidR="00436A8D" w:rsidRPr="0023628B">
                <w:rPr>
                  <w:rStyle w:val="Hyperlink"/>
                </w:rPr>
                <w:t>Report Format and Details</w:t>
              </w:r>
              <w:r w:rsidR="00436A8D">
                <w:rPr>
                  <w:webHidden/>
                </w:rPr>
                <w:tab/>
              </w:r>
              <w:r w:rsidR="00436A8D">
                <w:rPr>
                  <w:webHidden/>
                </w:rPr>
                <w:fldChar w:fldCharType="begin"/>
              </w:r>
              <w:r w:rsidR="00436A8D">
                <w:rPr>
                  <w:webHidden/>
                </w:rPr>
                <w:instrText xml:space="preserve"> PAGEREF _Toc5282805 \h </w:instrText>
              </w:r>
              <w:r w:rsidR="00436A8D">
                <w:rPr>
                  <w:webHidden/>
                </w:rPr>
              </w:r>
              <w:r w:rsidR="00436A8D">
                <w:rPr>
                  <w:webHidden/>
                </w:rPr>
                <w:fldChar w:fldCharType="separate"/>
              </w:r>
              <w:r w:rsidR="00436A8D">
                <w:rPr>
                  <w:webHidden/>
                </w:rPr>
                <w:t>14</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806" w:history="1">
              <w:r w:rsidR="00436A8D" w:rsidRPr="0023628B">
                <w:rPr>
                  <w:rStyle w:val="Hyperlink"/>
                  <w:rFonts w:ascii="Arial Bold" w:hAnsi="Arial Bold"/>
                </w:rPr>
                <w:t>5.4</w:t>
              </w:r>
              <w:r w:rsidR="00436A8D">
                <w:rPr>
                  <w:rFonts w:asciiTheme="minorHAnsi" w:eastAsiaTheme="minorEastAsia" w:hAnsiTheme="minorHAnsi" w:cstheme="minorBidi"/>
                  <w:sz w:val="22"/>
                  <w:szCs w:val="22"/>
                  <w:lang w:val="en-ZA" w:eastAsia="en-ZA"/>
                </w:rPr>
                <w:tab/>
              </w:r>
              <w:r w:rsidR="00436A8D" w:rsidRPr="0023628B">
                <w:rPr>
                  <w:rStyle w:val="Hyperlink"/>
                </w:rPr>
                <w:t>Follow-Up Reports</w:t>
              </w:r>
              <w:r w:rsidR="00436A8D">
                <w:rPr>
                  <w:webHidden/>
                </w:rPr>
                <w:tab/>
              </w:r>
              <w:r w:rsidR="00436A8D">
                <w:rPr>
                  <w:webHidden/>
                </w:rPr>
                <w:fldChar w:fldCharType="begin"/>
              </w:r>
              <w:r w:rsidR="00436A8D">
                <w:rPr>
                  <w:webHidden/>
                </w:rPr>
                <w:instrText xml:space="preserve"> PAGEREF _Toc5282806 \h </w:instrText>
              </w:r>
              <w:r w:rsidR="00436A8D">
                <w:rPr>
                  <w:webHidden/>
                </w:rPr>
              </w:r>
              <w:r w:rsidR="00436A8D">
                <w:rPr>
                  <w:webHidden/>
                </w:rPr>
                <w:fldChar w:fldCharType="separate"/>
              </w:r>
              <w:r w:rsidR="00436A8D">
                <w:rPr>
                  <w:webHidden/>
                </w:rPr>
                <w:t>15</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807" w:history="1">
              <w:r w:rsidR="00436A8D" w:rsidRPr="0023628B">
                <w:rPr>
                  <w:rStyle w:val="Hyperlink"/>
                </w:rPr>
                <w:t>5.5</w:t>
              </w:r>
              <w:r w:rsidR="00436A8D">
                <w:rPr>
                  <w:rFonts w:asciiTheme="minorHAnsi" w:eastAsiaTheme="minorEastAsia" w:hAnsiTheme="minorHAnsi" w:cstheme="minorBidi"/>
                  <w:sz w:val="22"/>
                  <w:szCs w:val="22"/>
                  <w:lang w:val="en-ZA" w:eastAsia="en-ZA"/>
                </w:rPr>
                <w:tab/>
              </w:r>
              <w:r w:rsidR="00436A8D" w:rsidRPr="0023628B">
                <w:rPr>
                  <w:rStyle w:val="Hyperlink"/>
                </w:rPr>
                <w:t>Another Holder of a Certificate of Registration / Applicant’s Medicine</w:t>
              </w:r>
              <w:r w:rsidR="00436A8D">
                <w:rPr>
                  <w:webHidden/>
                </w:rPr>
                <w:tab/>
              </w:r>
              <w:r w:rsidR="00436A8D">
                <w:rPr>
                  <w:webHidden/>
                </w:rPr>
                <w:fldChar w:fldCharType="begin"/>
              </w:r>
              <w:r w:rsidR="00436A8D">
                <w:rPr>
                  <w:webHidden/>
                </w:rPr>
                <w:instrText xml:space="preserve"> PAGEREF _Toc5282807 \h </w:instrText>
              </w:r>
              <w:r w:rsidR="00436A8D">
                <w:rPr>
                  <w:webHidden/>
                </w:rPr>
              </w:r>
              <w:r w:rsidR="00436A8D">
                <w:rPr>
                  <w:webHidden/>
                </w:rPr>
                <w:fldChar w:fldCharType="separate"/>
              </w:r>
              <w:r w:rsidR="00436A8D">
                <w:rPr>
                  <w:webHidden/>
                </w:rPr>
                <w:t>15</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808" w:history="1">
              <w:r w:rsidR="00436A8D" w:rsidRPr="0023628B">
                <w:rPr>
                  <w:rStyle w:val="Hyperlink"/>
                </w:rPr>
                <w:t>5.6</w:t>
              </w:r>
              <w:r w:rsidR="00436A8D">
                <w:rPr>
                  <w:rFonts w:asciiTheme="minorHAnsi" w:eastAsiaTheme="minorEastAsia" w:hAnsiTheme="minorHAnsi" w:cstheme="minorBidi"/>
                  <w:sz w:val="22"/>
                  <w:szCs w:val="22"/>
                  <w:lang w:val="en-ZA" w:eastAsia="en-ZA"/>
                </w:rPr>
                <w:tab/>
              </w:r>
              <w:r w:rsidR="00436A8D" w:rsidRPr="0023628B">
                <w:rPr>
                  <w:rStyle w:val="Hyperlink"/>
                </w:rPr>
                <w:t>Summary Report (SR) for each registered medicine</w:t>
              </w:r>
              <w:r w:rsidR="00436A8D">
                <w:rPr>
                  <w:webHidden/>
                </w:rPr>
                <w:tab/>
              </w:r>
              <w:r w:rsidR="00436A8D">
                <w:rPr>
                  <w:webHidden/>
                </w:rPr>
                <w:fldChar w:fldCharType="begin"/>
              </w:r>
              <w:r w:rsidR="00436A8D">
                <w:rPr>
                  <w:webHidden/>
                </w:rPr>
                <w:instrText xml:space="preserve"> PAGEREF _Toc5282808 \h </w:instrText>
              </w:r>
              <w:r w:rsidR="00436A8D">
                <w:rPr>
                  <w:webHidden/>
                </w:rPr>
              </w:r>
              <w:r w:rsidR="00436A8D">
                <w:rPr>
                  <w:webHidden/>
                </w:rPr>
                <w:fldChar w:fldCharType="separate"/>
              </w:r>
              <w:r w:rsidR="00436A8D">
                <w:rPr>
                  <w:webHidden/>
                </w:rPr>
                <w:t>15</w:t>
              </w:r>
              <w:r w:rsidR="00436A8D">
                <w:rPr>
                  <w:webHidden/>
                </w:rPr>
                <w:fldChar w:fldCharType="end"/>
              </w:r>
            </w:hyperlink>
          </w:p>
          <w:p w:rsidR="00436A8D" w:rsidRDefault="00021093">
            <w:pPr>
              <w:pStyle w:val="TOC2"/>
              <w:rPr>
                <w:rFonts w:asciiTheme="minorHAnsi" w:eastAsiaTheme="minorEastAsia" w:hAnsiTheme="minorHAnsi" w:cstheme="minorBidi"/>
                <w:sz w:val="22"/>
                <w:szCs w:val="22"/>
                <w:lang w:val="en-ZA" w:eastAsia="en-ZA"/>
              </w:rPr>
            </w:pPr>
            <w:hyperlink w:anchor="_Toc5282809" w:history="1">
              <w:r w:rsidR="00436A8D" w:rsidRPr="0023628B">
                <w:rPr>
                  <w:rStyle w:val="Hyperlink"/>
                </w:rPr>
                <w:t>5.7</w:t>
              </w:r>
              <w:r w:rsidR="00436A8D">
                <w:rPr>
                  <w:rFonts w:asciiTheme="minorHAnsi" w:eastAsiaTheme="minorEastAsia" w:hAnsiTheme="minorHAnsi" w:cstheme="minorBidi"/>
                  <w:sz w:val="22"/>
                  <w:szCs w:val="22"/>
                  <w:lang w:val="en-ZA" w:eastAsia="en-ZA"/>
                </w:rPr>
                <w:tab/>
              </w:r>
              <w:r w:rsidR="00436A8D" w:rsidRPr="0023628B">
                <w:rPr>
                  <w:rStyle w:val="Hyperlink"/>
                </w:rPr>
                <w:t>Confidentiality</w:t>
              </w:r>
              <w:r w:rsidR="00436A8D">
                <w:rPr>
                  <w:webHidden/>
                </w:rPr>
                <w:tab/>
              </w:r>
              <w:r w:rsidR="00436A8D">
                <w:rPr>
                  <w:webHidden/>
                </w:rPr>
                <w:fldChar w:fldCharType="begin"/>
              </w:r>
              <w:r w:rsidR="00436A8D">
                <w:rPr>
                  <w:webHidden/>
                </w:rPr>
                <w:instrText xml:space="preserve"> PAGEREF _Toc5282809 \h </w:instrText>
              </w:r>
              <w:r w:rsidR="00436A8D">
                <w:rPr>
                  <w:webHidden/>
                </w:rPr>
              </w:r>
              <w:r w:rsidR="00436A8D">
                <w:rPr>
                  <w:webHidden/>
                </w:rPr>
                <w:fldChar w:fldCharType="separate"/>
              </w:r>
              <w:r w:rsidR="00436A8D">
                <w:rPr>
                  <w:webHidden/>
                </w:rPr>
                <w:t>16</w:t>
              </w:r>
              <w:r w:rsidR="00436A8D">
                <w:rPr>
                  <w:webHidden/>
                </w:rPr>
                <w:fldChar w:fldCharType="end"/>
              </w:r>
            </w:hyperlink>
          </w:p>
          <w:p w:rsidR="00436A8D" w:rsidRDefault="00021093">
            <w:pPr>
              <w:pStyle w:val="TOC1"/>
              <w:rPr>
                <w:rFonts w:asciiTheme="minorHAnsi" w:eastAsiaTheme="minorEastAsia" w:hAnsiTheme="minorHAnsi" w:cstheme="minorBidi"/>
                <w:b w:val="0"/>
                <w:noProof/>
                <w:sz w:val="22"/>
                <w:szCs w:val="22"/>
                <w:lang w:val="en-ZA" w:eastAsia="en-ZA"/>
              </w:rPr>
            </w:pPr>
            <w:hyperlink w:anchor="_Toc5282810" w:history="1">
              <w:r w:rsidR="00436A8D" w:rsidRPr="0023628B">
                <w:rPr>
                  <w:rStyle w:val="Hyperlink"/>
                  <w:noProof/>
                </w:rPr>
                <w:t>6</w:t>
              </w:r>
              <w:r w:rsidR="00436A8D">
                <w:rPr>
                  <w:rFonts w:asciiTheme="minorHAnsi" w:eastAsiaTheme="minorEastAsia" w:hAnsiTheme="minorHAnsi" w:cstheme="minorBidi"/>
                  <w:b w:val="0"/>
                  <w:noProof/>
                  <w:sz w:val="22"/>
                  <w:szCs w:val="22"/>
                  <w:lang w:val="en-ZA" w:eastAsia="en-ZA"/>
                </w:rPr>
                <w:tab/>
              </w:r>
              <w:r w:rsidR="00436A8D" w:rsidRPr="0023628B">
                <w:rPr>
                  <w:rStyle w:val="Hyperlink"/>
                  <w:noProof/>
                </w:rPr>
                <w:t>REFERENCES</w:t>
              </w:r>
              <w:r w:rsidR="00436A8D">
                <w:rPr>
                  <w:noProof/>
                  <w:webHidden/>
                </w:rPr>
                <w:tab/>
              </w:r>
              <w:r w:rsidR="00436A8D">
                <w:rPr>
                  <w:noProof/>
                  <w:webHidden/>
                </w:rPr>
                <w:fldChar w:fldCharType="begin"/>
              </w:r>
              <w:r w:rsidR="00436A8D">
                <w:rPr>
                  <w:noProof/>
                  <w:webHidden/>
                </w:rPr>
                <w:instrText xml:space="preserve"> PAGEREF _Toc5282810 \h </w:instrText>
              </w:r>
              <w:r w:rsidR="00436A8D">
                <w:rPr>
                  <w:noProof/>
                  <w:webHidden/>
                </w:rPr>
              </w:r>
              <w:r w:rsidR="00436A8D">
                <w:rPr>
                  <w:noProof/>
                  <w:webHidden/>
                </w:rPr>
                <w:fldChar w:fldCharType="separate"/>
              </w:r>
              <w:r w:rsidR="00436A8D">
                <w:rPr>
                  <w:noProof/>
                  <w:webHidden/>
                </w:rPr>
                <w:t>16</w:t>
              </w:r>
              <w:r w:rsidR="00436A8D">
                <w:rPr>
                  <w:noProof/>
                  <w:webHidden/>
                </w:rPr>
                <w:fldChar w:fldCharType="end"/>
              </w:r>
            </w:hyperlink>
          </w:p>
          <w:p w:rsidR="00436A8D" w:rsidRDefault="00021093">
            <w:pPr>
              <w:pStyle w:val="TOC1"/>
              <w:rPr>
                <w:rFonts w:asciiTheme="minorHAnsi" w:eastAsiaTheme="minorEastAsia" w:hAnsiTheme="minorHAnsi" w:cstheme="minorBidi"/>
                <w:b w:val="0"/>
                <w:noProof/>
                <w:sz w:val="22"/>
                <w:szCs w:val="22"/>
                <w:lang w:val="en-ZA" w:eastAsia="en-ZA"/>
              </w:rPr>
            </w:pPr>
            <w:hyperlink w:anchor="_Toc5282811" w:history="1">
              <w:r w:rsidR="00436A8D" w:rsidRPr="0023628B">
                <w:rPr>
                  <w:rStyle w:val="Hyperlink"/>
                  <w:noProof/>
                </w:rPr>
                <w:t>7</w:t>
              </w:r>
              <w:r w:rsidR="00436A8D">
                <w:rPr>
                  <w:rFonts w:asciiTheme="minorHAnsi" w:eastAsiaTheme="minorEastAsia" w:hAnsiTheme="minorHAnsi" w:cstheme="minorBidi"/>
                  <w:b w:val="0"/>
                  <w:noProof/>
                  <w:sz w:val="22"/>
                  <w:szCs w:val="22"/>
                  <w:lang w:val="en-ZA" w:eastAsia="en-ZA"/>
                </w:rPr>
                <w:tab/>
              </w:r>
              <w:r w:rsidR="00436A8D" w:rsidRPr="0023628B">
                <w:rPr>
                  <w:rStyle w:val="Hyperlink"/>
                  <w:noProof/>
                </w:rPr>
                <w:t>APPENDICES</w:t>
              </w:r>
              <w:r w:rsidR="00436A8D">
                <w:rPr>
                  <w:noProof/>
                  <w:webHidden/>
                </w:rPr>
                <w:tab/>
              </w:r>
              <w:r w:rsidR="00436A8D">
                <w:rPr>
                  <w:noProof/>
                  <w:webHidden/>
                </w:rPr>
                <w:fldChar w:fldCharType="begin"/>
              </w:r>
              <w:r w:rsidR="00436A8D">
                <w:rPr>
                  <w:noProof/>
                  <w:webHidden/>
                </w:rPr>
                <w:instrText xml:space="preserve"> PAGEREF _Toc5282811 \h </w:instrText>
              </w:r>
              <w:r w:rsidR="00436A8D">
                <w:rPr>
                  <w:noProof/>
                  <w:webHidden/>
                </w:rPr>
              </w:r>
              <w:r w:rsidR="00436A8D">
                <w:rPr>
                  <w:noProof/>
                  <w:webHidden/>
                </w:rPr>
                <w:fldChar w:fldCharType="separate"/>
              </w:r>
              <w:r w:rsidR="00436A8D">
                <w:rPr>
                  <w:noProof/>
                  <w:webHidden/>
                </w:rPr>
                <w:t>18</w:t>
              </w:r>
              <w:r w:rsidR="00436A8D">
                <w:rPr>
                  <w:noProof/>
                  <w:webHidden/>
                </w:rPr>
                <w:fldChar w:fldCharType="end"/>
              </w:r>
            </w:hyperlink>
          </w:p>
          <w:p w:rsidR="00436A8D" w:rsidRDefault="00021093">
            <w:pPr>
              <w:pStyle w:val="TOC2"/>
              <w:tabs>
                <w:tab w:val="left" w:pos="2880"/>
              </w:tabs>
              <w:rPr>
                <w:rFonts w:asciiTheme="minorHAnsi" w:eastAsiaTheme="minorEastAsia" w:hAnsiTheme="minorHAnsi" w:cstheme="minorBidi"/>
                <w:sz w:val="22"/>
                <w:szCs w:val="22"/>
                <w:lang w:val="en-ZA" w:eastAsia="en-ZA"/>
              </w:rPr>
            </w:pPr>
            <w:hyperlink w:anchor="_Toc5282812" w:history="1">
              <w:r w:rsidR="00436A8D" w:rsidRPr="0023628B">
                <w:rPr>
                  <w:rStyle w:val="Hyperlink"/>
                </w:rPr>
                <w:t>APPENDIX 2:</w:t>
              </w:r>
              <w:r w:rsidR="00436A8D">
                <w:rPr>
                  <w:rFonts w:asciiTheme="minorHAnsi" w:eastAsiaTheme="minorEastAsia" w:hAnsiTheme="minorHAnsi" w:cstheme="minorBidi"/>
                  <w:sz w:val="22"/>
                  <w:szCs w:val="22"/>
                  <w:lang w:val="en-ZA" w:eastAsia="en-ZA"/>
                </w:rPr>
                <w:tab/>
              </w:r>
              <w:r w:rsidR="00436A8D" w:rsidRPr="0023628B">
                <w:rPr>
                  <w:rStyle w:val="Hyperlink"/>
                </w:rPr>
                <w:t>TEMPLATE FOR SUMMARY REPORT</w:t>
              </w:r>
              <w:r w:rsidR="00436A8D">
                <w:rPr>
                  <w:webHidden/>
                </w:rPr>
                <w:tab/>
              </w:r>
              <w:r w:rsidR="00436A8D">
                <w:rPr>
                  <w:webHidden/>
                </w:rPr>
                <w:fldChar w:fldCharType="begin"/>
              </w:r>
              <w:r w:rsidR="00436A8D">
                <w:rPr>
                  <w:webHidden/>
                </w:rPr>
                <w:instrText xml:space="preserve"> PAGEREF _Toc5282812 \h </w:instrText>
              </w:r>
              <w:r w:rsidR="00436A8D">
                <w:rPr>
                  <w:webHidden/>
                </w:rPr>
              </w:r>
              <w:r w:rsidR="00436A8D">
                <w:rPr>
                  <w:webHidden/>
                </w:rPr>
                <w:fldChar w:fldCharType="separate"/>
              </w:r>
              <w:r w:rsidR="00436A8D">
                <w:rPr>
                  <w:webHidden/>
                </w:rPr>
                <w:t>20</w:t>
              </w:r>
              <w:r w:rsidR="00436A8D">
                <w:rPr>
                  <w:webHidden/>
                </w:rPr>
                <w:fldChar w:fldCharType="end"/>
              </w:r>
            </w:hyperlink>
          </w:p>
          <w:p w:rsidR="00436A8D" w:rsidRDefault="00021093">
            <w:pPr>
              <w:pStyle w:val="TOC1"/>
              <w:rPr>
                <w:rFonts w:asciiTheme="minorHAnsi" w:eastAsiaTheme="minorEastAsia" w:hAnsiTheme="minorHAnsi" w:cstheme="minorBidi"/>
                <w:b w:val="0"/>
                <w:noProof/>
                <w:sz w:val="22"/>
                <w:szCs w:val="22"/>
                <w:lang w:val="en-ZA" w:eastAsia="en-ZA"/>
              </w:rPr>
            </w:pPr>
            <w:hyperlink w:anchor="_Toc5282813" w:history="1">
              <w:r w:rsidR="00436A8D" w:rsidRPr="0023628B">
                <w:rPr>
                  <w:rStyle w:val="Hyperlink"/>
                  <w:noProof/>
                </w:rPr>
                <w:t>8</w:t>
              </w:r>
              <w:r w:rsidR="00436A8D">
                <w:rPr>
                  <w:rFonts w:asciiTheme="minorHAnsi" w:eastAsiaTheme="minorEastAsia" w:hAnsiTheme="minorHAnsi" w:cstheme="minorBidi"/>
                  <w:b w:val="0"/>
                  <w:noProof/>
                  <w:sz w:val="22"/>
                  <w:szCs w:val="22"/>
                  <w:lang w:val="en-ZA" w:eastAsia="en-ZA"/>
                </w:rPr>
                <w:tab/>
              </w:r>
              <w:r w:rsidR="00436A8D" w:rsidRPr="0023628B">
                <w:rPr>
                  <w:rStyle w:val="Hyperlink"/>
                  <w:noProof/>
                </w:rPr>
                <w:t>GLOSSARY AND ABBREVIATIONS</w:t>
              </w:r>
              <w:r w:rsidR="00436A8D">
                <w:rPr>
                  <w:noProof/>
                  <w:webHidden/>
                </w:rPr>
                <w:tab/>
              </w:r>
              <w:r w:rsidR="00436A8D">
                <w:rPr>
                  <w:noProof/>
                  <w:webHidden/>
                </w:rPr>
                <w:fldChar w:fldCharType="begin"/>
              </w:r>
              <w:r w:rsidR="00436A8D">
                <w:rPr>
                  <w:noProof/>
                  <w:webHidden/>
                </w:rPr>
                <w:instrText xml:space="preserve"> PAGEREF _Toc5282813 \h </w:instrText>
              </w:r>
              <w:r w:rsidR="00436A8D">
                <w:rPr>
                  <w:noProof/>
                  <w:webHidden/>
                </w:rPr>
              </w:r>
              <w:r w:rsidR="00436A8D">
                <w:rPr>
                  <w:noProof/>
                  <w:webHidden/>
                </w:rPr>
                <w:fldChar w:fldCharType="separate"/>
              </w:r>
              <w:r w:rsidR="00436A8D">
                <w:rPr>
                  <w:noProof/>
                  <w:webHidden/>
                </w:rPr>
                <w:t>22</w:t>
              </w:r>
              <w:r w:rsidR="00436A8D">
                <w:rPr>
                  <w:noProof/>
                  <w:webHidden/>
                </w:rPr>
                <w:fldChar w:fldCharType="end"/>
              </w:r>
            </w:hyperlink>
          </w:p>
          <w:p w:rsidR="00436A8D" w:rsidRDefault="00021093">
            <w:pPr>
              <w:pStyle w:val="TOC1"/>
              <w:rPr>
                <w:rFonts w:asciiTheme="minorHAnsi" w:eastAsiaTheme="minorEastAsia" w:hAnsiTheme="minorHAnsi" w:cstheme="minorBidi"/>
                <w:b w:val="0"/>
                <w:noProof/>
                <w:sz w:val="22"/>
                <w:szCs w:val="22"/>
                <w:lang w:val="en-ZA" w:eastAsia="en-ZA"/>
              </w:rPr>
            </w:pPr>
            <w:hyperlink w:anchor="_Toc5282814" w:history="1">
              <w:r w:rsidR="00436A8D" w:rsidRPr="0023628B">
                <w:rPr>
                  <w:rStyle w:val="Hyperlink"/>
                  <w:noProof/>
                </w:rPr>
                <w:t>9</w:t>
              </w:r>
              <w:r w:rsidR="00436A8D">
                <w:rPr>
                  <w:rFonts w:asciiTheme="minorHAnsi" w:eastAsiaTheme="minorEastAsia" w:hAnsiTheme="minorHAnsi" w:cstheme="minorBidi"/>
                  <w:b w:val="0"/>
                  <w:noProof/>
                  <w:sz w:val="22"/>
                  <w:szCs w:val="22"/>
                  <w:lang w:val="en-ZA" w:eastAsia="en-ZA"/>
                </w:rPr>
                <w:tab/>
              </w:r>
              <w:r w:rsidR="00436A8D" w:rsidRPr="0023628B">
                <w:rPr>
                  <w:rStyle w:val="Hyperlink"/>
                  <w:noProof/>
                </w:rPr>
                <w:t>UPDATE HISTORY</w:t>
              </w:r>
              <w:r w:rsidR="00436A8D">
                <w:rPr>
                  <w:noProof/>
                  <w:webHidden/>
                </w:rPr>
                <w:tab/>
              </w:r>
              <w:r w:rsidR="00436A8D">
                <w:rPr>
                  <w:noProof/>
                  <w:webHidden/>
                </w:rPr>
                <w:fldChar w:fldCharType="begin"/>
              </w:r>
              <w:r w:rsidR="00436A8D">
                <w:rPr>
                  <w:noProof/>
                  <w:webHidden/>
                </w:rPr>
                <w:instrText xml:space="preserve"> PAGEREF _Toc5282814 \h </w:instrText>
              </w:r>
              <w:r w:rsidR="00436A8D">
                <w:rPr>
                  <w:noProof/>
                  <w:webHidden/>
                </w:rPr>
              </w:r>
              <w:r w:rsidR="00436A8D">
                <w:rPr>
                  <w:noProof/>
                  <w:webHidden/>
                </w:rPr>
                <w:fldChar w:fldCharType="separate"/>
              </w:r>
              <w:r w:rsidR="00436A8D">
                <w:rPr>
                  <w:noProof/>
                  <w:webHidden/>
                </w:rPr>
                <w:t>23</w:t>
              </w:r>
              <w:r w:rsidR="00436A8D">
                <w:rPr>
                  <w:noProof/>
                  <w:webHidden/>
                </w:rPr>
                <w:fldChar w:fldCharType="end"/>
              </w:r>
            </w:hyperlink>
          </w:p>
          <w:p w:rsidR="007F268B" w:rsidRPr="007109B1" w:rsidRDefault="00436A8D" w:rsidP="009E2D8E">
            <w:pPr>
              <w:pStyle w:val="EndnoteText"/>
              <w:spacing w:line="360" w:lineRule="auto"/>
              <w:rPr>
                <w:rFonts w:ascii="Arial" w:hAnsi="Arial" w:cs="Arial"/>
                <w:sz w:val="22"/>
                <w:szCs w:val="22"/>
              </w:rPr>
            </w:pPr>
            <w:r>
              <w:rPr>
                <w:rFonts w:ascii="Arial" w:hAnsi="Arial" w:cs="Arial"/>
                <w:b/>
                <w:sz w:val="22"/>
                <w:szCs w:val="22"/>
                <w:lang w:val="en-US"/>
              </w:rPr>
              <w:fldChar w:fldCharType="end"/>
            </w:r>
          </w:p>
        </w:tc>
      </w:tr>
    </w:tbl>
    <w:p w:rsidR="00322D69" w:rsidRDefault="00322D69" w:rsidP="00911FCD">
      <w:pPr>
        <w:pStyle w:val="Heading1"/>
        <w:numPr>
          <w:ilvl w:val="0"/>
          <w:numId w:val="26"/>
        </w:numPr>
        <w:ind w:hanging="930"/>
        <w:sectPr w:rsidR="00322D69" w:rsidSect="00C3160C">
          <w:pgSz w:w="11907" w:h="16840" w:code="9"/>
          <w:pgMar w:top="1474" w:right="1021" w:bottom="1701" w:left="1021" w:header="1134" w:footer="1134" w:gutter="0"/>
          <w:cols w:space="709"/>
          <w:noEndnote/>
          <w:docGrid w:linePitch="360"/>
        </w:sectPr>
      </w:pPr>
      <w:bookmarkStart w:id="2" w:name="Introduction"/>
      <w:bookmarkStart w:id="3" w:name="_Toc396005388"/>
      <w:bookmarkEnd w:id="2"/>
    </w:p>
    <w:p w:rsidR="002E3BA4" w:rsidRDefault="00760E87">
      <w:pPr>
        <w:pStyle w:val="Heading1"/>
        <w:numPr>
          <w:ilvl w:val="0"/>
          <w:numId w:val="26"/>
        </w:numPr>
        <w:ind w:hanging="930"/>
      </w:pPr>
      <w:bookmarkStart w:id="4" w:name="_Toc5282763"/>
      <w:r w:rsidRPr="0056753E">
        <w:lastRenderedPageBreak/>
        <w:t>INTRODUCTION</w:t>
      </w:r>
      <w:bookmarkEnd w:id="3"/>
      <w:bookmarkEnd w:id="4"/>
    </w:p>
    <w:p w:rsidR="002F697C" w:rsidRPr="00FC100C" w:rsidRDefault="002F697C" w:rsidP="002F697C">
      <w:pPr>
        <w:widowControl/>
        <w:suppressAutoHyphens/>
        <w:spacing w:before="120" w:line="280" w:lineRule="atLeast"/>
        <w:ind w:left="567"/>
        <w:jc w:val="both"/>
        <w:rPr>
          <w:rFonts w:ascii="Arial" w:hAnsi="Arial"/>
          <w:sz w:val="20"/>
        </w:rPr>
      </w:pPr>
      <w:r w:rsidRPr="00FC100C">
        <w:rPr>
          <w:rFonts w:ascii="Arial" w:hAnsi="Arial"/>
          <w:sz w:val="20"/>
        </w:rPr>
        <w:t xml:space="preserve">This guidance document covers the collection of ADRs </w:t>
      </w:r>
      <w:r w:rsidR="00BE65EB" w:rsidRPr="00FC100C">
        <w:rPr>
          <w:rFonts w:ascii="Arial" w:hAnsi="Arial"/>
          <w:sz w:val="20"/>
        </w:rPr>
        <w:t xml:space="preserve">and product quality </w:t>
      </w:r>
      <w:r w:rsidRPr="00FC100C">
        <w:rPr>
          <w:rFonts w:ascii="Arial" w:hAnsi="Arial"/>
          <w:sz w:val="20"/>
        </w:rPr>
        <w:t>by SAHPRA for the follow</w:t>
      </w:r>
      <w:r w:rsidR="00BE65EB" w:rsidRPr="00FC100C">
        <w:rPr>
          <w:rFonts w:ascii="Arial" w:hAnsi="Arial"/>
          <w:sz w:val="20"/>
        </w:rPr>
        <w:t xml:space="preserve">ing marketed health </w:t>
      </w:r>
      <w:r w:rsidRPr="00FC100C">
        <w:rPr>
          <w:rFonts w:ascii="Arial" w:hAnsi="Arial"/>
          <w:sz w:val="20"/>
        </w:rPr>
        <w:t>products:</w:t>
      </w:r>
    </w:p>
    <w:p w:rsidR="002F697C" w:rsidRPr="00FC100C" w:rsidRDefault="00AB2DA5" w:rsidP="002F697C">
      <w:pPr>
        <w:pStyle w:val="ListParagraph"/>
        <w:numPr>
          <w:ilvl w:val="0"/>
          <w:numId w:val="36"/>
        </w:numPr>
        <w:suppressAutoHyphens/>
        <w:spacing w:before="120" w:line="280" w:lineRule="atLeast"/>
        <w:rPr>
          <w:rFonts w:ascii="Arial" w:hAnsi="Arial"/>
          <w:sz w:val="20"/>
        </w:rPr>
      </w:pPr>
      <w:r>
        <w:rPr>
          <w:rFonts w:ascii="Arial" w:hAnsi="Arial"/>
          <w:sz w:val="20"/>
        </w:rPr>
        <w:t>pharmaceutical medicines</w:t>
      </w:r>
      <w:r w:rsidR="002F697C" w:rsidRPr="00FC100C">
        <w:rPr>
          <w:rFonts w:ascii="Arial" w:hAnsi="Arial"/>
          <w:sz w:val="20"/>
        </w:rPr>
        <w:t xml:space="preserve"> (orthordox medicines)</w:t>
      </w:r>
    </w:p>
    <w:p w:rsidR="002F697C" w:rsidRPr="00FC100C" w:rsidRDefault="002F697C" w:rsidP="002F697C">
      <w:pPr>
        <w:pStyle w:val="ListParagraph"/>
        <w:numPr>
          <w:ilvl w:val="0"/>
          <w:numId w:val="36"/>
        </w:numPr>
        <w:suppressAutoHyphens/>
        <w:spacing w:before="120" w:line="280" w:lineRule="atLeast"/>
        <w:rPr>
          <w:rFonts w:ascii="Arial" w:hAnsi="Arial"/>
          <w:sz w:val="20"/>
        </w:rPr>
      </w:pPr>
      <w:r w:rsidRPr="00FC100C">
        <w:rPr>
          <w:rFonts w:ascii="Arial" w:hAnsi="Arial"/>
          <w:sz w:val="20"/>
        </w:rPr>
        <w:t>biological medicines</w:t>
      </w:r>
      <w:r w:rsidR="00FE7F7A" w:rsidRPr="00FC100C">
        <w:rPr>
          <w:rFonts w:ascii="Arial" w:hAnsi="Arial"/>
          <w:sz w:val="20"/>
        </w:rPr>
        <w:t xml:space="preserve"> (including vaccines)</w:t>
      </w:r>
    </w:p>
    <w:p w:rsidR="002F697C" w:rsidRPr="00FC100C" w:rsidRDefault="002F697C" w:rsidP="002F697C">
      <w:pPr>
        <w:pStyle w:val="ListParagraph"/>
        <w:numPr>
          <w:ilvl w:val="0"/>
          <w:numId w:val="36"/>
        </w:numPr>
        <w:suppressAutoHyphens/>
        <w:spacing w:before="120" w:line="280" w:lineRule="atLeast"/>
        <w:rPr>
          <w:rFonts w:ascii="Arial" w:hAnsi="Arial"/>
          <w:sz w:val="20"/>
        </w:rPr>
      </w:pPr>
      <w:r w:rsidRPr="00FC100C">
        <w:rPr>
          <w:rFonts w:ascii="Arial" w:hAnsi="Arial"/>
          <w:sz w:val="20"/>
        </w:rPr>
        <w:t>complementary medicines</w:t>
      </w:r>
    </w:p>
    <w:p w:rsidR="008442D3" w:rsidRPr="00FC100C" w:rsidRDefault="00FE7F7A" w:rsidP="008442D3">
      <w:pPr>
        <w:pStyle w:val="ListParagraph"/>
        <w:numPr>
          <w:ilvl w:val="0"/>
          <w:numId w:val="36"/>
        </w:numPr>
        <w:suppressAutoHyphens/>
        <w:spacing w:before="120" w:line="280" w:lineRule="atLeast"/>
        <w:rPr>
          <w:rFonts w:ascii="Arial" w:hAnsi="Arial"/>
          <w:sz w:val="20"/>
        </w:rPr>
      </w:pPr>
      <w:r w:rsidRPr="00FC100C">
        <w:rPr>
          <w:rFonts w:ascii="Arial" w:hAnsi="Arial"/>
          <w:sz w:val="20"/>
        </w:rPr>
        <w:t xml:space="preserve">radiopharmaceuticals </w:t>
      </w:r>
    </w:p>
    <w:p w:rsidR="003A2715" w:rsidRPr="00FC100C" w:rsidDel="00CC1BF2" w:rsidRDefault="003A2715" w:rsidP="001F6945">
      <w:pPr>
        <w:spacing w:before="120" w:line="280" w:lineRule="atLeast"/>
        <w:ind w:left="567"/>
        <w:jc w:val="both"/>
        <w:rPr>
          <w:rFonts w:cs="Arial"/>
        </w:rPr>
      </w:pPr>
      <w:r w:rsidRPr="000B347F" w:rsidDel="00CC1BF2">
        <w:rPr>
          <w:rFonts w:ascii="Arial" w:hAnsi="Arial" w:cs="Arial"/>
          <w:sz w:val="20"/>
        </w:rPr>
        <w:t>This guideline does not apply to</w:t>
      </w:r>
      <w:r w:rsidR="00CC478F" w:rsidRPr="000B347F" w:rsidDel="00CC1BF2">
        <w:rPr>
          <w:rFonts w:ascii="Arial" w:hAnsi="Arial" w:cs="Arial"/>
          <w:sz w:val="20"/>
        </w:rPr>
        <w:t xml:space="preserve"> the reporting of </w:t>
      </w:r>
      <w:r w:rsidR="008C359D" w:rsidRPr="000B347F">
        <w:rPr>
          <w:rFonts w:ascii="Arial" w:hAnsi="Arial" w:cs="Arial"/>
          <w:sz w:val="20"/>
        </w:rPr>
        <w:t>a</w:t>
      </w:r>
      <w:r w:rsidR="00CC478F" w:rsidRPr="000B347F" w:rsidDel="00CC1BF2">
        <w:rPr>
          <w:rFonts w:ascii="Arial" w:hAnsi="Arial" w:cs="Arial"/>
          <w:sz w:val="20"/>
        </w:rPr>
        <w:t xml:space="preserve">dverse </w:t>
      </w:r>
      <w:r w:rsidR="008C359D" w:rsidRPr="000B347F">
        <w:rPr>
          <w:rFonts w:ascii="Arial" w:hAnsi="Arial" w:cs="Arial"/>
          <w:sz w:val="20"/>
        </w:rPr>
        <w:t>d</w:t>
      </w:r>
      <w:r w:rsidR="00CC478F" w:rsidRPr="000B347F" w:rsidDel="00CC1BF2">
        <w:rPr>
          <w:rFonts w:ascii="Arial" w:hAnsi="Arial" w:cs="Arial"/>
          <w:sz w:val="20"/>
        </w:rPr>
        <w:t xml:space="preserve">rug </w:t>
      </w:r>
      <w:r w:rsidR="008C359D" w:rsidRPr="000B347F">
        <w:rPr>
          <w:rFonts w:ascii="Arial" w:hAnsi="Arial" w:cs="Arial"/>
          <w:sz w:val="20"/>
        </w:rPr>
        <w:t>r</w:t>
      </w:r>
      <w:r w:rsidR="00CC478F" w:rsidRPr="000B347F" w:rsidDel="00CC1BF2">
        <w:rPr>
          <w:rFonts w:ascii="Arial" w:hAnsi="Arial" w:cs="Arial"/>
          <w:sz w:val="20"/>
        </w:rPr>
        <w:t xml:space="preserve">eactions (ADRs) and Serious Adverse Events </w:t>
      </w:r>
      <w:r w:rsidR="00DA2152" w:rsidRPr="000B347F">
        <w:rPr>
          <w:rFonts w:ascii="Arial" w:hAnsi="Arial" w:cs="Arial"/>
          <w:sz w:val="20"/>
        </w:rPr>
        <w:t>(</w:t>
      </w:r>
      <w:r w:rsidR="00CC478F" w:rsidRPr="000B347F" w:rsidDel="00CC1BF2">
        <w:rPr>
          <w:rFonts w:ascii="Arial" w:hAnsi="Arial" w:cs="Arial"/>
          <w:sz w:val="20"/>
        </w:rPr>
        <w:t xml:space="preserve">SAEs) </w:t>
      </w:r>
      <w:r w:rsidR="008C359D" w:rsidRPr="000B347F">
        <w:rPr>
          <w:rFonts w:ascii="Arial" w:hAnsi="Arial" w:cs="Arial"/>
          <w:sz w:val="20"/>
        </w:rPr>
        <w:t xml:space="preserve">related to </w:t>
      </w:r>
      <w:r w:rsidR="00CC478F" w:rsidRPr="000B347F" w:rsidDel="00CC1BF2">
        <w:rPr>
          <w:rFonts w:ascii="Arial" w:hAnsi="Arial" w:cs="Arial"/>
          <w:sz w:val="20"/>
        </w:rPr>
        <w:t xml:space="preserve">unregistered medicines </w:t>
      </w:r>
      <w:r w:rsidRPr="000B347F" w:rsidDel="00CC1BF2">
        <w:rPr>
          <w:rFonts w:ascii="Arial" w:hAnsi="Arial" w:cs="Arial"/>
          <w:sz w:val="20"/>
        </w:rPr>
        <w:t>(</w:t>
      </w:r>
      <w:r w:rsidR="008C359D" w:rsidRPr="000B347F">
        <w:rPr>
          <w:rFonts w:ascii="Arial" w:hAnsi="Arial" w:cs="Arial"/>
          <w:sz w:val="20"/>
        </w:rPr>
        <w:t xml:space="preserve">whether used in the context of </w:t>
      </w:r>
      <w:r w:rsidRPr="000B347F" w:rsidDel="00CC1BF2">
        <w:rPr>
          <w:rFonts w:ascii="Arial" w:hAnsi="Arial" w:cs="Arial"/>
          <w:sz w:val="20"/>
        </w:rPr>
        <w:t xml:space="preserve">pre-registration clinical trials </w:t>
      </w:r>
      <w:r w:rsidR="00EA436A" w:rsidRPr="000B347F">
        <w:rPr>
          <w:rFonts w:ascii="Arial" w:hAnsi="Arial" w:cs="Arial"/>
          <w:sz w:val="20"/>
        </w:rPr>
        <w:t xml:space="preserve">or </w:t>
      </w:r>
      <w:r w:rsidRPr="000B347F" w:rsidDel="00CC1BF2">
        <w:rPr>
          <w:rFonts w:ascii="Arial" w:hAnsi="Arial" w:cs="Arial"/>
          <w:sz w:val="20"/>
        </w:rPr>
        <w:t>in terms of Section 21 authorisations</w:t>
      </w:r>
      <w:r w:rsidR="00CC478F" w:rsidRPr="000B347F" w:rsidDel="00CC1BF2">
        <w:rPr>
          <w:rFonts w:ascii="Arial" w:hAnsi="Arial" w:cs="Arial"/>
          <w:sz w:val="20"/>
        </w:rPr>
        <w:t>)</w:t>
      </w:r>
      <w:r w:rsidRPr="000B347F" w:rsidDel="00CC1BF2">
        <w:rPr>
          <w:rFonts w:ascii="Arial" w:hAnsi="Arial" w:cs="Arial"/>
          <w:sz w:val="20"/>
        </w:rPr>
        <w:t>.</w:t>
      </w:r>
      <w:r w:rsidR="002F697C">
        <w:rPr>
          <w:rFonts w:ascii="Arial" w:hAnsi="Arial" w:cs="Arial"/>
          <w:sz w:val="20"/>
        </w:rPr>
        <w:t xml:space="preserve"> </w:t>
      </w:r>
      <w:r w:rsidR="003316F5" w:rsidRPr="00FC100C">
        <w:rPr>
          <w:rFonts w:ascii="Arial" w:hAnsi="Arial" w:cs="Arial"/>
          <w:sz w:val="20"/>
        </w:rPr>
        <w:t xml:space="preserve">Marketed products </w:t>
      </w:r>
      <w:r w:rsidR="000425D1" w:rsidRPr="00FC100C">
        <w:rPr>
          <w:rFonts w:ascii="Arial" w:hAnsi="Arial" w:cs="Arial"/>
          <w:sz w:val="20"/>
        </w:rPr>
        <w:t>covered by this guidance document exclude blood, blood components, medi</w:t>
      </w:r>
      <w:r w:rsidR="00FC100C">
        <w:rPr>
          <w:rFonts w:ascii="Arial" w:hAnsi="Arial" w:cs="Arial"/>
          <w:sz w:val="20"/>
        </w:rPr>
        <w:t>cal devices and veterinary medicines</w:t>
      </w:r>
      <w:r w:rsidR="000425D1" w:rsidRPr="00FC100C">
        <w:rPr>
          <w:rFonts w:ascii="Arial" w:hAnsi="Arial" w:cs="Arial"/>
          <w:sz w:val="20"/>
        </w:rPr>
        <w:t>.</w:t>
      </w:r>
    </w:p>
    <w:p w:rsidR="002E3BA4" w:rsidRDefault="00760E87">
      <w:pPr>
        <w:widowControl/>
        <w:suppressAutoHyphens/>
        <w:spacing w:before="120" w:line="280" w:lineRule="atLeast"/>
        <w:ind w:left="567"/>
        <w:jc w:val="both"/>
        <w:rPr>
          <w:rFonts w:ascii="Arial" w:hAnsi="Arial"/>
          <w:sz w:val="20"/>
        </w:rPr>
      </w:pPr>
      <w:r w:rsidRPr="000B347F">
        <w:rPr>
          <w:rFonts w:ascii="Arial" w:hAnsi="Arial"/>
          <w:sz w:val="20"/>
        </w:rPr>
        <w:t xml:space="preserve">This guideline is intended to assist </w:t>
      </w:r>
      <w:r w:rsidR="00BC508F" w:rsidRPr="000B347F">
        <w:rPr>
          <w:rFonts w:ascii="Arial" w:hAnsi="Arial"/>
          <w:sz w:val="20"/>
        </w:rPr>
        <w:t>holders of a certificate of registration</w:t>
      </w:r>
      <w:r w:rsidR="002C5C91" w:rsidRPr="000B347F">
        <w:rPr>
          <w:rFonts w:ascii="Arial" w:hAnsi="Arial"/>
          <w:sz w:val="20"/>
        </w:rPr>
        <w:t>(holder)</w:t>
      </w:r>
      <w:r w:rsidR="002F3743" w:rsidRPr="000B347F">
        <w:rPr>
          <w:rFonts w:ascii="Arial" w:hAnsi="Arial"/>
          <w:sz w:val="20"/>
        </w:rPr>
        <w:t xml:space="preserve">/ applicants </w:t>
      </w:r>
      <w:r w:rsidRPr="000B347F">
        <w:rPr>
          <w:rFonts w:ascii="Arial" w:hAnsi="Arial"/>
          <w:sz w:val="20"/>
        </w:rPr>
        <w:t>in the reporting of adverse drug reactions (ADRs) associated with the use of registered medicines</w:t>
      </w:r>
      <w:r w:rsidR="002F697C">
        <w:rPr>
          <w:rFonts w:ascii="Arial" w:hAnsi="Arial"/>
          <w:sz w:val="20"/>
        </w:rPr>
        <w:t xml:space="preserve"> </w:t>
      </w:r>
      <w:r w:rsidR="002F3743" w:rsidRPr="000B347F">
        <w:rPr>
          <w:rFonts w:ascii="Arial" w:hAnsi="Arial"/>
          <w:sz w:val="20"/>
        </w:rPr>
        <w:t>and “Old Medicines”</w:t>
      </w:r>
      <w:r w:rsidR="002F697C">
        <w:rPr>
          <w:rFonts w:ascii="Arial" w:hAnsi="Arial"/>
          <w:sz w:val="20"/>
        </w:rPr>
        <w:t xml:space="preserve"> </w:t>
      </w:r>
      <w:r w:rsidRPr="000B347F">
        <w:rPr>
          <w:rFonts w:ascii="Arial" w:hAnsi="Arial"/>
          <w:sz w:val="20"/>
        </w:rPr>
        <w:t>and in the management of safety data which arise during post</w:t>
      </w:r>
      <w:r w:rsidR="00642084" w:rsidRPr="000B347F">
        <w:rPr>
          <w:rFonts w:ascii="Arial" w:hAnsi="Arial"/>
          <w:sz w:val="20"/>
        </w:rPr>
        <w:t>-</w:t>
      </w:r>
      <w:r w:rsidRPr="000B347F">
        <w:rPr>
          <w:rFonts w:ascii="Arial" w:hAnsi="Arial"/>
          <w:sz w:val="20"/>
        </w:rPr>
        <w:t xml:space="preserve">registration and post-marketing clinical trials. </w:t>
      </w:r>
    </w:p>
    <w:p w:rsidR="00AC2D5C" w:rsidRDefault="00760E87">
      <w:pPr>
        <w:widowControl/>
        <w:suppressAutoHyphens/>
        <w:spacing w:before="120" w:line="280" w:lineRule="atLeast"/>
        <w:ind w:left="567"/>
        <w:jc w:val="both"/>
        <w:rPr>
          <w:rFonts w:ascii="Arial" w:hAnsi="Arial"/>
          <w:sz w:val="20"/>
        </w:rPr>
      </w:pPr>
      <w:r w:rsidRPr="000B347F">
        <w:rPr>
          <w:rFonts w:ascii="Arial" w:hAnsi="Arial"/>
          <w:sz w:val="20"/>
        </w:rPr>
        <w:t xml:space="preserve">For the purpose of this guideline, </w:t>
      </w:r>
      <w:r w:rsidR="005E4118" w:rsidRPr="00AB6897">
        <w:rPr>
          <w:rFonts w:ascii="Arial" w:hAnsi="Arial"/>
          <w:color w:val="1F497D" w:themeColor="text2"/>
          <w:sz w:val="20"/>
        </w:rPr>
        <w:t>"</w:t>
      </w:r>
      <w:r w:rsidR="005E4118" w:rsidRPr="00FC100C">
        <w:rPr>
          <w:rFonts w:ascii="Arial" w:hAnsi="Arial"/>
          <w:sz w:val="20"/>
        </w:rPr>
        <w:t>SAHPRA" refers to the South African Health Products Regulatory Authority</w:t>
      </w:r>
      <w:r w:rsidR="00CD4126" w:rsidRPr="00FC100C">
        <w:rPr>
          <w:rFonts w:ascii="Arial" w:hAnsi="Arial"/>
          <w:sz w:val="20"/>
        </w:rPr>
        <w:t>,</w:t>
      </w:r>
      <w:r w:rsidR="00FF7135" w:rsidRPr="00FC100C">
        <w:rPr>
          <w:rFonts w:ascii="Arial" w:hAnsi="Arial"/>
          <w:sz w:val="20"/>
        </w:rPr>
        <w:t xml:space="preserve"> </w:t>
      </w:r>
      <w:r w:rsidR="00EA75C0" w:rsidRPr="00FC100C">
        <w:rPr>
          <w:rFonts w:ascii="Arial" w:hAnsi="Arial"/>
          <w:sz w:val="20"/>
        </w:rPr>
        <w:t>hereafter</w:t>
      </w:r>
      <w:r w:rsidR="002F697C" w:rsidRPr="00FC100C">
        <w:rPr>
          <w:rFonts w:ascii="Arial" w:hAnsi="Arial"/>
          <w:sz w:val="20"/>
        </w:rPr>
        <w:t xml:space="preserve"> referred to as the Authority</w:t>
      </w:r>
      <w:r w:rsidR="002F697C">
        <w:rPr>
          <w:rFonts w:ascii="Arial" w:hAnsi="Arial"/>
          <w:sz w:val="20"/>
        </w:rPr>
        <w:t xml:space="preserve">, </w:t>
      </w:r>
      <w:r w:rsidR="00FF7135" w:rsidRPr="000B347F">
        <w:rPr>
          <w:rFonts w:ascii="Arial" w:hAnsi="Arial"/>
          <w:sz w:val="20"/>
        </w:rPr>
        <w:t>and</w:t>
      </w:r>
      <w:r w:rsidR="002F697C">
        <w:rPr>
          <w:rFonts w:ascii="Arial" w:hAnsi="Arial"/>
          <w:sz w:val="20"/>
        </w:rPr>
        <w:t xml:space="preserve"> </w:t>
      </w:r>
      <w:r w:rsidR="00CC1BF2" w:rsidRPr="000B347F">
        <w:rPr>
          <w:rFonts w:ascii="Arial" w:hAnsi="Arial"/>
          <w:sz w:val="20"/>
        </w:rPr>
        <w:t>“</w:t>
      </w:r>
      <w:r w:rsidRPr="000B347F">
        <w:rPr>
          <w:rFonts w:ascii="Arial" w:hAnsi="Arial"/>
          <w:b/>
          <w:sz w:val="20"/>
        </w:rPr>
        <w:t>NADEMC</w:t>
      </w:r>
      <w:r w:rsidR="00CC1BF2" w:rsidRPr="000B347F">
        <w:rPr>
          <w:rFonts w:ascii="Arial" w:hAnsi="Arial"/>
          <w:b/>
          <w:sz w:val="20"/>
        </w:rPr>
        <w:t>”</w:t>
      </w:r>
      <w:r w:rsidRPr="000B347F">
        <w:rPr>
          <w:rFonts w:ascii="Arial" w:hAnsi="Arial"/>
          <w:sz w:val="20"/>
        </w:rPr>
        <w:t xml:space="preserve"> refers to the National Adverse Drug Event Monitoring Centre</w:t>
      </w:r>
      <w:r w:rsidR="004E1C55" w:rsidRPr="000B347F">
        <w:rPr>
          <w:rFonts w:ascii="Arial" w:hAnsi="Arial"/>
          <w:sz w:val="20"/>
        </w:rPr>
        <w:t>.</w:t>
      </w:r>
      <w:r w:rsidR="00EF5353">
        <w:rPr>
          <w:rFonts w:ascii="Arial" w:hAnsi="Arial"/>
          <w:sz w:val="20"/>
        </w:rPr>
        <w:t xml:space="preserve"> </w:t>
      </w:r>
      <w:r w:rsidR="00CC1BF2" w:rsidRPr="000B347F">
        <w:rPr>
          <w:rFonts w:ascii="Arial" w:hAnsi="Arial"/>
          <w:sz w:val="20"/>
        </w:rPr>
        <w:t>The terms “h</w:t>
      </w:r>
      <w:r w:rsidR="00CD4126" w:rsidRPr="000B347F">
        <w:rPr>
          <w:rFonts w:ascii="Arial" w:hAnsi="Arial"/>
          <w:sz w:val="20"/>
        </w:rPr>
        <w:t xml:space="preserve">older of </w:t>
      </w:r>
      <w:r w:rsidR="00CC1BF2" w:rsidRPr="000B347F">
        <w:rPr>
          <w:rFonts w:ascii="Arial" w:hAnsi="Arial"/>
          <w:sz w:val="20"/>
        </w:rPr>
        <w:t xml:space="preserve">certificate </w:t>
      </w:r>
      <w:r w:rsidR="00CD4126" w:rsidRPr="000B347F">
        <w:rPr>
          <w:rFonts w:ascii="Arial" w:hAnsi="Arial"/>
          <w:sz w:val="20"/>
        </w:rPr>
        <w:t xml:space="preserve">of </w:t>
      </w:r>
      <w:r w:rsidR="00CC1BF2" w:rsidRPr="000B347F">
        <w:rPr>
          <w:rFonts w:ascii="Arial" w:hAnsi="Arial"/>
          <w:sz w:val="20"/>
        </w:rPr>
        <w:t>registration</w:t>
      </w:r>
      <w:r w:rsidR="008B0F02" w:rsidRPr="000B347F">
        <w:rPr>
          <w:rFonts w:ascii="Arial" w:hAnsi="Arial"/>
          <w:sz w:val="20"/>
        </w:rPr>
        <w:t>”</w:t>
      </w:r>
      <w:r w:rsidR="00BE65EB">
        <w:rPr>
          <w:rFonts w:ascii="Arial" w:hAnsi="Arial"/>
          <w:sz w:val="20"/>
        </w:rPr>
        <w:t xml:space="preserve"> </w:t>
      </w:r>
      <w:r w:rsidR="004E1C55" w:rsidRPr="000B347F">
        <w:rPr>
          <w:rFonts w:ascii="Arial" w:hAnsi="Arial"/>
          <w:sz w:val="20"/>
        </w:rPr>
        <w:t>(</w:t>
      </w:r>
      <w:r w:rsidR="00B2543C" w:rsidRPr="000B347F">
        <w:rPr>
          <w:rFonts w:ascii="Arial" w:hAnsi="Arial"/>
          <w:sz w:val="20"/>
        </w:rPr>
        <w:t>holder</w:t>
      </w:r>
      <w:r w:rsidR="004E1C55" w:rsidRPr="000B347F">
        <w:rPr>
          <w:rFonts w:ascii="Arial" w:hAnsi="Arial"/>
          <w:sz w:val="20"/>
        </w:rPr>
        <w:t xml:space="preserve">) </w:t>
      </w:r>
      <w:r w:rsidR="00E27B89" w:rsidRPr="000B347F">
        <w:rPr>
          <w:rFonts w:ascii="Arial" w:hAnsi="Arial"/>
          <w:sz w:val="20"/>
        </w:rPr>
        <w:t>and</w:t>
      </w:r>
      <w:r w:rsidR="00BE65EB">
        <w:rPr>
          <w:rFonts w:ascii="Arial" w:hAnsi="Arial"/>
          <w:sz w:val="20"/>
        </w:rPr>
        <w:t xml:space="preserve"> </w:t>
      </w:r>
      <w:r w:rsidR="00CC1BF2" w:rsidRPr="000B347F">
        <w:rPr>
          <w:rFonts w:ascii="Arial" w:hAnsi="Arial"/>
          <w:sz w:val="20"/>
        </w:rPr>
        <w:t>“applicant”</w:t>
      </w:r>
      <w:r w:rsidR="002F697C">
        <w:rPr>
          <w:rFonts w:ascii="Arial" w:hAnsi="Arial"/>
          <w:sz w:val="20"/>
        </w:rPr>
        <w:t xml:space="preserve"> </w:t>
      </w:r>
      <w:r w:rsidR="00E27B89" w:rsidRPr="000B347F">
        <w:rPr>
          <w:rFonts w:ascii="Arial" w:hAnsi="Arial"/>
          <w:sz w:val="20"/>
        </w:rPr>
        <w:t xml:space="preserve">are used </w:t>
      </w:r>
      <w:r w:rsidR="00AC2D5C" w:rsidRPr="000B347F">
        <w:rPr>
          <w:rFonts w:ascii="Arial" w:hAnsi="Arial"/>
          <w:sz w:val="20"/>
        </w:rPr>
        <w:t>interchangeably. The</w:t>
      </w:r>
      <w:r w:rsidRPr="000B347F">
        <w:rPr>
          <w:rFonts w:ascii="Arial" w:hAnsi="Arial"/>
          <w:sz w:val="20"/>
        </w:rPr>
        <w:t xml:space="preserve"> terms </w:t>
      </w:r>
      <w:r w:rsidR="00CC1BF2" w:rsidRPr="000B347F">
        <w:rPr>
          <w:rFonts w:ascii="Arial" w:hAnsi="Arial"/>
          <w:sz w:val="20"/>
        </w:rPr>
        <w:t>“</w:t>
      </w:r>
      <w:r w:rsidRPr="000B347F">
        <w:rPr>
          <w:rFonts w:ascii="Arial" w:hAnsi="Arial"/>
          <w:sz w:val="20"/>
        </w:rPr>
        <w:t>medicine</w:t>
      </w:r>
      <w:r w:rsidR="00CC1BF2" w:rsidRPr="000B347F">
        <w:rPr>
          <w:rFonts w:ascii="Arial" w:hAnsi="Arial"/>
          <w:sz w:val="20"/>
        </w:rPr>
        <w:t>”</w:t>
      </w:r>
      <w:r w:rsidRPr="000B347F">
        <w:rPr>
          <w:rFonts w:ascii="Arial" w:hAnsi="Arial"/>
          <w:sz w:val="20"/>
        </w:rPr>
        <w:t xml:space="preserve"> and </w:t>
      </w:r>
      <w:r w:rsidR="00CC1BF2" w:rsidRPr="000B347F">
        <w:rPr>
          <w:rFonts w:ascii="Arial" w:hAnsi="Arial"/>
          <w:sz w:val="20"/>
        </w:rPr>
        <w:t>“</w:t>
      </w:r>
      <w:r w:rsidRPr="000B347F">
        <w:rPr>
          <w:rFonts w:ascii="Arial" w:hAnsi="Arial"/>
          <w:sz w:val="20"/>
        </w:rPr>
        <w:t>drug</w:t>
      </w:r>
      <w:r w:rsidR="00CC1BF2" w:rsidRPr="000B347F">
        <w:rPr>
          <w:rFonts w:ascii="Arial" w:hAnsi="Arial"/>
          <w:sz w:val="20"/>
        </w:rPr>
        <w:t>”</w:t>
      </w:r>
      <w:r w:rsidRPr="000B347F">
        <w:rPr>
          <w:rFonts w:ascii="Arial" w:hAnsi="Arial"/>
          <w:sz w:val="20"/>
        </w:rPr>
        <w:t xml:space="preserve"> are </w:t>
      </w:r>
      <w:r w:rsidR="00CC1BF2" w:rsidRPr="000B347F">
        <w:rPr>
          <w:rFonts w:ascii="Arial" w:hAnsi="Arial"/>
          <w:sz w:val="20"/>
        </w:rPr>
        <w:t xml:space="preserve">also </w:t>
      </w:r>
      <w:r w:rsidRPr="000B347F">
        <w:rPr>
          <w:rFonts w:ascii="Arial" w:hAnsi="Arial"/>
          <w:sz w:val="20"/>
        </w:rPr>
        <w:t xml:space="preserve">used interchangeably. </w:t>
      </w:r>
    </w:p>
    <w:p w:rsidR="003E7435" w:rsidRPr="000B347F" w:rsidRDefault="003E7435">
      <w:pPr>
        <w:widowControl/>
        <w:suppressAutoHyphens/>
        <w:spacing w:before="120" w:line="280" w:lineRule="atLeast"/>
        <w:ind w:left="567"/>
        <w:jc w:val="both"/>
        <w:rPr>
          <w:rFonts w:ascii="Arial" w:hAnsi="Arial"/>
          <w:sz w:val="20"/>
        </w:rPr>
      </w:pPr>
    </w:p>
    <w:p w:rsidR="00760E87" w:rsidRPr="00F83433" w:rsidRDefault="00760E87" w:rsidP="0056753E">
      <w:pPr>
        <w:pStyle w:val="Heading2"/>
      </w:pPr>
      <w:bookmarkStart w:id="5" w:name="_Toc396005389"/>
      <w:bookmarkStart w:id="6" w:name="_Toc5282764"/>
      <w:r w:rsidRPr="00F83433">
        <w:t>1.1</w:t>
      </w:r>
      <w:r w:rsidRPr="00F83433">
        <w:tab/>
        <w:t>Legal Basis</w:t>
      </w:r>
      <w:bookmarkEnd w:id="5"/>
      <w:bookmarkEnd w:id="6"/>
    </w:p>
    <w:p w:rsidR="00C71D1B" w:rsidRDefault="00760E87" w:rsidP="0078688A">
      <w:pPr>
        <w:widowControl/>
        <w:suppressAutoHyphens/>
        <w:spacing w:before="120" w:line="280" w:lineRule="atLeast"/>
        <w:ind w:left="680"/>
        <w:rPr>
          <w:rFonts w:ascii="Arial" w:hAnsi="Arial"/>
          <w:sz w:val="20"/>
        </w:rPr>
      </w:pPr>
      <w:r w:rsidRPr="00F83433">
        <w:rPr>
          <w:rFonts w:ascii="Arial" w:hAnsi="Arial"/>
          <w:sz w:val="20"/>
        </w:rPr>
        <w:t>The guideline pertains to Regulation</w:t>
      </w:r>
      <w:r w:rsidR="003E7435">
        <w:rPr>
          <w:rFonts w:ascii="Arial" w:hAnsi="Arial"/>
          <w:sz w:val="20"/>
        </w:rPr>
        <w:t xml:space="preserve"> </w:t>
      </w:r>
      <w:r w:rsidR="00762446" w:rsidRPr="00EA75C0">
        <w:rPr>
          <w:rFonts w:ascii="Arial" w:hAnsi="Arial"/>
          <w:sz w:val="20"/>
        </w:rPr>
        <w:t>40</w:t>
      </w:r>
      <w:r w:rsidR="003E7435">
        <w:rPr>
          <w:rFonts w:ascii="Arial" w:hAnsi="Arial"/>
          <w:sz w:val="20"/>
        </w:rPr>
        <w:t xml:space="preserve"> </w:t>
      </w:r>
      <w:r w:rsidR="00CC1BF2" w:rsidRPr="000B347F">
        <w:rPr>
          <w:rFonts w:ascii="Arial" w:hAnsi="Arial"/>
          <w:sz w:val="20"/>
        </w:rPr>
        <w:t>issued in terms of</w:t>
      </w:r>
      <w:r w:rsidR="00BE65EB">
        <w:rPr>
          <w:rFonts w:ascii="Arial" w:hAnsi="Arial"/>
          <w:sz w:val="20"/>
        </w:rPr>
        <w:t xml:space="preserve"> </w:t>
      </w:r>
      <w:r w:rsidRPr="00F83433">
        <w:rPr>
          <w:rFonts w:ascii="Arial" w:hAnsi="Arial"/>
          <w:sz w:val="20"/>
        </w:rPr>
        <w:t>the Medicines and Related Substances Act</w:t>
      </w:r>
      <w:r w:rsidR="00EA75C0">
        <w:rPr>
          <w:rFonts w:ascii="Arial" w:hAnsi="Arial"/>
          <w:sz w:val="20"/>
        </w:rPr>
        <w:t xml:space="preserve"> 101, </w:t>
      </w:r>
      <w:r w:rsidR="00642084">
        <w:rPr>
          <w:rFonts w:ascii="Arial" w:hAnsi="Arial"/>
          <w:sz w:val="20"/>
        </w:rPr>
        <w:t xml:space="preserve">(Act </w:t>
      </w:r>
      <w:r w:rsidRPr="00F83433">
        <w:rPr>
          <w:rFonts w:ascii="Arial" w:hAnsi="Arial"/>
          <w:sz w:val="20"/>
        </w:rPr>
        <w:t>101 of 1965</w:t>
      </w:r>
      <w:r w:rsidR="00642084">
        <w:rPr>
          <w:rFonts w:ascii="Arial" w:hAnsi="Arial"/>
          <w:sz w:val="20"/>
        </w:rPr>
        <w:t>)</w:t>
      </w:r>
      <w:r w:rsidRPr="00F83433">
        <w:rPr>
          <w:rFonts w:ascii="Arial" w:hAnsi="Arial"/>
          <w:sz w:val="20"/>
        </w:rPr>
        <w:t xml:space="preserve"> as amended.</w:t>
      </w:r>
    </w:p>
    <w:p w:rsidR="00CC10A5" w:rsidRDefault="00CC10A5" w:rsidP="0078688A">
      <w:pPr>
        <w:widowControl/>
        <w:suppressAutoHyphens/>
        <w:spacing w:before="120" w:line="280" w:lineRule="atLeast"/>
        <w:ind w:left="680"/>
        <w:rPr>
          <w:rFonts w:ascii="Arial" w:hAnsi="Arial"/>
          <w:sz w:val="20"/>
        </w:rPr>
      </w:pPr>
    </w:p>
    <w:p w:rsidR="00CC10A5" w:rsidRPr="00EA75C0" w:rsidRDefault="00CC10A5" w:rsidP="00CC10A5">
      <w:pPr>
        <w:widowControl/>
        <w:suppressAutoHyphens/>
        <w:spacing w:before="120" w:line="280" w:lineRule="atLeast"/>
        <w:rPr>
          <w:rFonts w:ascii="Arial" w:hAnsi="Arial"/>
          <w:b/>
          <w:sz w:val="20"/>
        </w:rPr>
      </w:pPr>
      <w:r>
        <w:rPr>
          <w:rFonts w:ascii="Arial" w:hAnsi="Arial"/>
          <w:b/>
          <w:sz w:val="20"/>
        </w:rPr>
        <w:t>1.2</w:t>
      </w:r>
      <w:r>
        <w:rPr>
          <w:rFonts w:ascii="Arial" w:hAnsi="Arial"/>
          <w:b/>
          <w:sz w:val="20"/>
        </w:rPr>
        <w:tab/>
      </w:r>
      <w:r w:rsidR="0025100F" w:rsidRPr="00EA75C0">
        <w:rPr>
          <w:rFonts w:ascii="Arial" w:hAnsi="Arial"/>
          <w:b/>
          <w:sz w:val="20"/>
        </w:rPr>
        <w:t>Purpose of the guideline</w:t>
      </w:r>
    </w:p>
    <w:p w:rsidR="002E3BA4" w:rsidRPr="00EA75C0" w:rsidRDefault="00CC10A5">
      <w:pPr>
        <w:widowControl/>
        <w:suppressAutoHyphens/>
        <w:spacing w:before="120" w:line="280" w:lineRule="atLeast"/>
        <w:ind w:left="680"/>
        <w:jc w:val="both"/>
        <w:rPr>
          <w:rFonts w:ascii="Arial" w:hAnsi="Arial" w:cs="Arial"/>
          <w:sz w:val="20"/>
        </w:rPr>
      </w:pPr>
      <w:r w:rsidRPr="00EA75C0">
        <w:rPr>
          <w:rFonts w:ascii="Arial" w:hAnsi="Arial" w:cs="Arial"/>
          <w:sz w:val="20"/>
        </w:rPr>
        <w:t>Every applicant</w:t>
      </w:r>
      <w:r w:rsidR="0025100F" w:rsidRPr="00EA75C0">
        <w:rPr>
          <w:rFonts w:ascii="Arial" w:hAnsi="Arial" w:cs="Arial"/>
          <w:sz w:val="20"/>
        </w:rPr>
        <w:t xml:space="preserve"> is required to report A</w:t>
      </w:r>
      <w:r w:rsidRPr="00EA75C0">
        <w:rPr>
          <w:rFonts w:ascii="Arial" w:hAnsi="Arial" w:cs="Arial"/>
          <w:sz w:val="20"/>
        </w:rPr>
        <w:t>D</w:t>
      </w:r>
      <w:r w:rsidR="0025100F" w:rsidRPr="00EA75C0">
        <w:rPr>
          <w:rFonts w:ascii="Arial" w:hAnsi="Arial" w:cs="Arial"/>
          <w:sz w:val="20"/>
        </w:rPr>
        <w:t xml:space="preserve">Rs known </w:t>
      </w:r>
      <w:r w:rsidRPr="00EA75C0">
        <w:rPr>
          <w:rFonts w:ascii="Arial" w:hAnsi="Arial" w:cs="Arial"/>
          <w:sz w:val="20"/>
        </w:rPr>
        <w:t>to them involving their marketed</w:t>
      </w:r>
      <w:r w:rsidR="00BE65EB" w:rsidRPr="00EA75C0">
        <w:rPr>
          <w:rFonts w:ascii="Arial" w:hAnsi="Arial" w:cs="Arial"/>
          <w:sz w:val="20"/>
        </w:rPr>
        <w:t xml:space="preserve"> </w:t>
      </w:r>
      <w:r w:rsidRPr="00EA75C0">
        <w:rPr>
          <w:rFonts w:ascii="Arial" w:hAnsi="Arial" w:cs="Arial"/>
          <w:sz w:val="20"/>
        </w:rPr>
        <w:t>medicines</w:t>
      </w:r>
      <w:r w:rsidR="0025100F" w:rsidRPr="00EA75C0">
        <w:rPr>
          <w:rFonts w:ascii="Arial" w:hAnsi="Arial" w:cs="Arial"/>
          <w:sz w:val="20"/>
        </w:rPr>
        <w:t xml:space="preserve"> in accordance with the requirements of </w:t>
      </w:r>
      <w:r w:rsidRPr="00EA75C0">
        <w:rPr>
          <w:rFonts w:ascii="Arial" w:hAnsi="Arial" w:cs="Arial"/>
          <w:sz w:val="20"/>
        </w:rPr>
        <w:t xml:space="preserve">Act 101 of 1965 </w:t>
      </w:r>
      <w:r w:rsidR="0025100F" w:rsidRPr="00EA75C0">
        <w:rPr>
          <w:rFonts w:ascii="Arial" w:hAnsi="Arial" w:cs="Arial"/>
          <w:i/>
          <w:iCs/>
          <w:sz w:val="20"/>
        </w:rPr>
        <w:t>Regulations</w:t>
      </w:r>
      <w:r w:rsidRPr="00EA75C0">
        <w:rPr>
          <w:rFonts w:ascii="Arial" w:hAnsi="Arial" w:cs="Arial"/>
          <w:i/>
          <w:iCs/>
          <w:sz w:val="20"/>
        </w:rPr>
        <w:t xml:space="preserve"> 40</w:t>
      </w:r>
      <w:r w:rsidR="0025100F" w:rsidRPr="00EA75C0">
        <w:rPr>
          <w:rFonts w:ascii="Arial" w:hAnsi="Arial" w:cs="Arial"/>
          <w:sz w:val="20"/>
        </w:rPr>
        <w:t xml:space="preserve">. The success of </w:t>
      </w:r>
      <w:r w:rsidR="008442D3" w:rsidRPr="00EA75C0">
        <w:rPr>
          <w:rFonts w:ascii="Arial" w:hAnsi="Arial" w:cs="Arial"/>
          <w:sz w:val="20"/>
        </w:rPr>
        <w:t>the</w:t>
      </w:r>
      <w:r w:rsidR="00BE65EB" w:rsidRPr="00EA75C0">
        <w:rPr>
          <w:rFonts w:ascii="Arial" w:hAnsi="Arial" w:cs="Arial"/>
          <w:sz w:val="20"/>
        </w:rPr>
        <w:t xml:space="preserve"> </w:t>
      </w:r>
      <w:r w:rsidR="008442D3" w:rsidRPr="00EA75C0">
        <w:rPr>
          <w:rFonts w:ascii="Arial" w:hAnsi="Arial" w:cs="Arial"/>
          <w:sz w:val="20"/>
        </w:rPr>
        <w:t>Authority</w:t>
      </w:r>
      <w:r w:rsidR="0025100F" w:rsidRPr="00EA75C0">
        <w:rPr>
          <w:rFonts w:ascii="Arial" w:hAnsi="Arial" w:cs="Arial"/>
          <w:sz w:val="20"/>
        </w:rPr>
        <w:t>’s A</w:t>
      </w:r>
      <w:r w:rsidRPr="00EA75C0">
        <w:rPr>
          <w:rFonts w:ascii="Arial" w:hAnsi="Arial" w:cs="Arial"/>
          <w:sz w:val="20"/>
        </w:rPr>
        <w:t>D</w:t>
      </w:r>
      <w:r w:rsidR="0025100F" w:rsidRPr="00EA75C0">
        <w:rPr>
          <w:rFonts w:ascii="Arial" w:hAnsi="Arial" w:cs="Arial"/>
          <w:sz w:val="20"/>
        </w:rPr>
        <w:t>R reporting system depends on the quality, completeness, and accuracy of the information submitted. Reporting of A</w:t>
      </w:r>
      <w:r w:rsidRPr="00EA75C0">
        <w:rPr>
          <w:rFonts w:ascii="Arial" w:hAnsi="Arial" w:cs="Arial"/>
          <w:sz w:val="20"/>
        </w:rPr>
        <w:t>D</w:t>
      </w:r>
      <w:r w:rsidR="003E7435" w:rsidRPr="00EA75C0">
        <w:rPr>
          <w:rFonts w:ascii="Arial" w:hAnsi="Arial" w:cs="Arial"/>
          <w:sz w:val="20"/>
        </w:rPr>
        <w:t xml:space="preserve">Rs and </w:t>
      </w:r>
      <w:r w:rsidR="0025100F" w:rsidRPr="00EA75C0">
        <w:rPr>
          <w:rFonts w:ascii="Arial" w:hAnsi="Arial" w:cs="Arial"/>
          <w:sz w:val="20"/>
        </w:rPr>
        <w:t>monitoring thereof</w:t>
      </w:r>
      <w:r w:rsidR="003E7435" w:rsidRPr="00EA75C0">
        <w:rPr>
          <w:rFonts w:ascii="Arial" w:hAnsi="Arial" w:cs="Arial"/>
          <w:sz w:val="20"/>
        </w:rPr>
        <w:t>,</w:t>
      </w:r>
      <w:r w:rsidR="0025100F" w:rsidRPr="00EA75C0">
        <w:rPr>
          <w:rFonts w:ascii="Arial" w:hAnsi="Arial" w:cs="Arial"/>
          <w:sz w:val="20"/>
        </w:rPr>
        <w:t xml:space="preserve"> remain a viable means of identifying previously unrecognized, rare or serious A</w:t>
      </w:r>
      <w:r w:rsidRPr="00EA75C0">
        <w:rPr>
          <w:rFonts w:ascii="Arial" w:hAnsi="Arial" w:cs="Arial"/>
          <w:sz w:val="20"/>
        </w:rPr>
        <w:t>D</w:t>
      </w:r>
      <w:r w:rsidR="0025100F" w:rsidRPr="00EA75C0">
        <w:rPr>
          <w:rFonts w:ascii="Arial" w:hAnsi="Arial" w:cs="Arial"/>
          <w:sz w:val="20"/>
        </w:rPr>
        <w:t>Rs. This may result in changing product safety information, facilitating decisions on regulatory actions such as withdrawa</w:t>
      </w:r>
      <w:r w:rsidRPr="00EA75C0">
        <w:rPr>
          <w:rFonts w:ascii="Arial" w:hAnsi="Arial" w:cs="Arial"/>
          <w:sz w:val="20"/>
        </w:rPr>
        <w:t>l of a product from the South African</w:t>
      </w:r>
      <w:r w:rsidR="0025100F" w:rsidRPr="00EA75C0">
        <w:rPr>
          <w:rFonts w:ascii="Arial" w:hAnsi="Arial" w:cs="Arial"/>
          <w:sz w:val="20"/>
        </w:rPr>
        <w:t xml:space="preserve"> market, contributing to international data regarding risks and effectivene</w:t>
      </w:r>
      <w:r w:rsidRPr="00EA75C0">
        <w:rPr>
          <w:rFonts w:ascii="Arial" w:hAnsi="Arial" w:cs="Arial"/>
          <w:sz w:val="20"/>
        </w:rPr>
        <w:t>ss of medicines</w:t>
      </w:r>
      <w:r w:rsidR="0025100F" w:rsidRPr="00EA75C0">
        <w:rPr>
          <w:rFonts w:ascii="Arial" w:hAnsi="Arial" w:cs="Arial"/>
          <w:sz w:val="20"/>
        </w:rPr>
        <w:t>, and imparting health product safety knowl</w:t>
      </w:r>
      <w:r w:rsidRPr="00EA75C0">
        <w:rPr>
          <w:rFonts w:ascii="Arial" w:hAnsi="Arial" w:cs="Arial"/>
          <w:sz w:val="20"/>
        </w:rPr>
        <w:t>edge that benefits all South African</w:t>
      </w:r>
      <w:r w:rsidR="008442D3" w:rsidRPr="00EA75C0">
        <w:rPr>
          <w:rFonts w:ascii="Arial" w:hAnsi="Arial" w:cs="Arial"/>
          <w:sz w:val="20"/>
        </w:rPr>
        <w:t>s</w:t>
      </w:r>
      <w:r w:rsidR="003E7435" w:rsidRPr="00EA75C0">
        <w:rPr>
          <w:rFonts w:ascii="Arial" w:hAnsi="Arial" w:cs="Arial"/>
          <w:sz w:val="20"/>
        </w:rPr>
        <w:t>.</w:t>
      </w:r>
    </w:p>
    <w:p w:rsidR="00760E87" w:rsidRPr="0056753E" w:rsidRDefault="00760E87" w:rsidP="0056753E">
      <w:pPr>
        <w:pStyle w:val="Heading1"/>
      </w:pPr>
      <w:bookmarkStart w:id="7" w:name="_Toc396005390"/>
      <w:bookmarkStart w:id="8" w:name="_Toc5282765"/>
      <w:r w:rsidRPr="0056753E">
        <w:t>2</w:t>
      </w:r>
      <w:r w:rsidRPr="0056753E">
        <w:tab/>
      </w:r>
      <w:bookmarkStart w:id="9" w:name="Definitions"/>
      <w:bookmarkEnd w:id="9"/>
      <w:r w:rsidRPr="0056753E">
        <w:t>DEFINITIONS</w:t>
      </w:r>
      <w:bookmarkEnd w:id="7"/>
      <w:bookmarkEnd w:id="8"/>
    </w:p>
    <w:p w:rsidR="00760E87" w:rsidRPr="00EB61DA" w:rsidRDefault="00760E87" w:rsidP="00AA5E86">
      <w:pPr>
        <w:pStyle w:val="Heading2"/>
        <w:spacing w:after="120"/>
      </w:pPr>
      <w:bookmarkStart w:id="10" w:name="_Toc396005391"/>
      <w:bookmarkStart w:id="11" w:name="_Toc5282766"/>
      <w:r w:rsidRPr="00EB61DA">
        <w:t>2.1</w:t>
      </w:r>
      <w:r w:rsidRPr="00EB61DA">
        <w:tab/>
        <w:t>Adverse Event</w:t>
      </w:r>
      <w:bookmarkEnd w:id="10"/>
      <w:bookmarkEnd w:id="11"/>
    </w:p>
    <w:p w:rsidR="008F11D0" w:rsidRDefault="008F11D0" w:rsidP="00AA5E86">
      <w:pPr>
        <w:widowControl/>
        <w:suppressAutoHyphens/>
        <w:spacing w:before="120" w:line="280" w:lineRule="atLeast"/>
        <w:ind w:left="680"/>
        <w:jc w:val="both"/>
        <w:rPr>
          <w:rFonts w:ascii="Arial" w:hAnsi="Arial"/>
          <w:sz w:val="20"/>
        </w:rPr>
      </w:pPr>
      <w:r w:rsidRPr="0025100F">
        <w:rPr>
          <w:rFonts w:ascii="Arial" w:hAnsi="Arial" w:cs="Arial"/>
          <w:sz w:val="20"/>
        </w:rPr>
        <w:t>“Adverse event/experience” is any untoward medical occurrence in a patient or clinical trial subject administered a medicine that may present during treatment with that medicine but which does not necessarily have a causal relationship with this treatment.</w:t>
      </w:r>
    </w:p>
    <w:p w:rsidR="00760E87" w:rsidRPr="00EB61DA" w:rsidRDefault="00760E87" w:rsidP="00AA5E86">
      <w:pPr>
        <w:widowControl/>
        <w:suppressAutoHyphens/>
        <w:spacing w:before="120" w:line="280" w:lineRule="atLeast"/>
        <w:ind w:left="680"/>
        <w:jc w:val="both"/>
        <w:rPr>
          <w:rFonts w:ascii="Arial" w:hAnsi="Arial"/>
          <w:sz w:val="20"/>
        </w:rPr>
      </w:pPr>
      <w:r w:rsidRPr="00EB61DA">
        <w:rPr>
          <w:rFonts w:ascii="Arial" w:hAnsi="Arial"/>
          <w:sz w:val="20"/>
        </w:rPr>
        <w:lastRenderedPageBreak/>
        <w:t>An adverse event can be any unfavourable and unintended sign, symptom or disease temporally associated with the use of a medicin</w:t>
      </w:r>
      <w:r w:rsidR="009F3D42" w:rsidRPr="00EB61DA">
        <w:rPr>
          <w:rFonts w:ascii="Arial" w:hAnsi="Arial"/>
          <w:sz w:val="20"/>
        </w:rPr>
        <w:t>e</w:t>
      </w:r>
      <w:r w:rsidRPr="00EB61DA">
        <w:rPr>
          <w:rFonts w:ascii="Arial" w:hAnsi="Arial"/>
          <w:sz w:val="20"/>
        </w:rPr>
        <w:t xml:space="preserve">, whether considered related to the </w:t>
      </w:r>
      <w:r w:rsidR="003E28DD" w:rsidRPr="00EB61DA">
        <w:rPr>
          <w:rFonts w:ascii="Arial" w:hAnsi="Arial"/>
          <w:sz w:val="20"/>
        </w:rPr>
        <w:t>medicine</w:t>
      </w:r>
      <w:r w:rsidRPr="00EB61DA">
        <w:rPr>
          <w:rFonts w:ascii="Arial" w:hAnsi="Arial"/>
          <w:sz w:val="20"/>
        </w:rPr>
        <w:t>, or not.</w:t>
      </w:r>
    </w:p>
    <w:p w:rsidR="00760E87" w:rsidRPr="00EB61DA" w:rsidRDefault="00760E87" w:rsidP="00AA5E86">
      <w:pPr>
        <w:pStyle w:val="Heading2"/>
        <w:spacing w:after="120"/>
      </w:pPr>
      <w:bookmarkStart w:id="12" w:name="_Toc396005392"/>
      <w:bookmarkStart w:id="13" w:name="_Toc5282767"/>
      <w:r w:rsidRPr="00EB61DA">
        <w:t>2.2</w:t>
      </w:r>
      <w:r w:rsidRPr="00EB61DA">
        <w:tab/>
        <w:t>Adverse Drug Reaction (ADR) or Adverse Reaction</w:t>
      </w:r>
      <w:bookmarkEnd w:id="12"/>
      <w:bookmarkEnd w:id="13"/>
    </w:p>
    <w:p w:rsidR="008F11D0" w:rsidRDefault="008F11D0" w:rsidP="00AA5E86">
      <w:pPr>
        <w:widowControl/>
        <w:suppressAutoHyphens/>
        <w:spacing w:before="120" w:line="280" w:lineRule="atLeast"/>
        <w:ind w:left="680"/>
        <w:jc w:val="both"/>
        <w:rPr>
          <w:rFonts w:ascii="Arial" w:hAnsi="Arial"/>
          <w:sz w:val="20"/>
        </w:rPr>
      </w:pPr>
      <w:r w:rsidRPr="0025100F">
        <w:rPr>
          <w:rFonts w:ascii="Arial" w:hAnsi="Arial" w:cs="Arial"/>
          <w:sz w:val="20"/>
        </w:rPr>
        <w:t>“Adverse drug reaction” or “adverse reaction” means a response to a medicine in humans which is noxious and unintended, including lack of efficacy, and which occurs at doses normally used in man and which can also result from overdose, misuse or abuse of a medicine.</w:t>
      </w:r>
    </w:p>
    <w:p w:rsidR="00760E87" w:rsidRPr="00F752DD" w:rsidRDefault="00760E87" w:rsidP="00AA5E86">
      <w:pPr>
        <w:widowControl/>
        <w:suppressAutoHyphens/>
        <w:spacing w:before="120" w:line="280" w:lineRule="atLeast"/>
        <w:ind w:left="680"/>
        <w:jc w:val="both"/>
        <w:rPr>
          <w:rFonts w:ascii="Arial" w:hAnsi="Arial"/>
          <w:strike/>
          <w:sz w:val="20"/>
        </w:rPr>
      </w:pPr>
      <w:r w:rsidRPr="00EB61DA">
        <w:rPr>
          <w:rFonts w:ascii="Arial" w:hAnsi="Arial"/>
          <w:sz w:val="20"/>
        </w:rPr>
        <w:t xml:space="preserve">The definition of an adverse drug reaction or adverse reaction applies to registered medicines, medicines for which the </w:t>
      </w:r>
      <w:r w:rsidR="004E1C55" w:rsidRPr="00EB61DA">
        <w:rPr>
          <w:rFonts w:ascii="Arial" w:hAnsi="Arial" w:cs="Arial"/>
          <w:sz w:val="20"/>
        </w:rPr>
        <w:t>applicant</w:t>
      </w:r>
      <w:r w:rsidR="00BE65EB">
        <w:rPr>
          <w:rFonts w:ascii="Arial" w:hAnsi="Arial" w:cs="Arial"/>
          <w:sz w:val="20"/>
        </w:rPr>
        <w:t xml:space="preserve"> </w:t>
      </w:r>
      <w:r w:rsidRPr="00EB61DA">
        <w:rPr>
          <w:rFonts w:ascii="Arial" w:hAnsi="Arial"/>
          <w:sz w:val="20"/>
        </w:rPr>
        <w:t>holds a</w:t>
      </w:r>
      <w:r w:rsidR="00EA436A" w:rsidRPr="00EB61DA">
        <w:rPr>
          <w:rFonts w:ascii="Arial" w:hAnsi="Arial"/>
          <w:sz w:val="20"/>
        </w:rPr>
        <w:t>n application</w:t>
      </w:r>
      <w:r w:rsidR="00BE65EB">
        <w:rPr>
          <w:rFonts w:ascii="Arial" w:hAnsi="Arial"/>
          <w:sz w:val="20"/>
        </w:rPr>
        <w:t xml:space="preserve"> </w:t>
      </w:r>
      <w:r w:rsidRPr="00EB61DA">
        <w:rPr>
          <w:rFonts w:ascii="Arial" w:hAnsi="Arial"/>
          <w:sz w:val="20"/>
        </w:rPr>
        <w:t>for registration</w:t>
      </w:r>
      <w:r w:rsidR="00F463B6" w:rsidRPr="00EB61DA">
        <w:rPr>
          <w:rFonts w:ascii="Arial" w:hAnsi="Arial"/>
          <w:sz w:val="20"/>
        </w:rPr>
        <w:t xml:space="preserve"> (</w:t>
      </w:r>
      <w:r w:rsidRPr="00EB61DA">
        <w:rPr>
          <w:rFonts w:ascii="Arial" w:hAnsi="Arial"/>
          <w:sz w:val="20"/>
        </w:rPr>
        <w:t xml:space="preserve">“Old </w:t>
      </w:r>
      <w:r w:rsidR="00AC2D5C" w:rsidRPr="00EB61DA">
        <w:rPr>
          <w:rFonts w:ascii="Arial" w:hAnsi="Arial"/>
          <w:sz w:val="20"/>
        </w:rPr>
        <w:t>Medicines"</w:t>
      </w:r>
      <w:r w:rsidR="00F463B6" w:rsidRPr="00EB61DA">
        <w:rPr>
          <w:rFonts w:ascii="Arial" w:hAnsi="Arial"/>
          <w:sz w:val="20"/>
        </w:rPr>
        <w:t>)</w:t>
      </w:r>
      <w:r w:rsidR="00D53E4C">
        <w:rPr>
          <w:rFonts w:ascii="Arial" w:hAnsi="Arial"/>
          <w:sz w:val="20"/>
        </w:rPr>
        <w:t xml:space="preserve">. </w:t>
      </w:r>
    </w:p>
    <w:p w:rsidR="00760E87" w:rsidRPr="00EB61DA" w:rsidRDefault="00760E87" w:rsidP="00AA5E86">
      <w:pPr>
        <w:widowControl/>
        <w:tabs>
          <w:tab w:val="left" w:pos="0"/>
          <w:tab w:val="left" w:pos="709"/>
          <w:tab w:val="left" w:pos="9639"/>
        </w:tabs>
        <w:suppressAutoHyphens/>
        <w:spacing w:before="120" w:line="280" w:lineRule="atLeast"/>
        <w:ind w:left="680"/>
        <w:jc w:val="both"/>
        <w:rPr>
          <w:rFonts w:ascii="Arial" w:hAnsi="Arial" w:cs="Arial"/>
          <w:b/>
          <w:sz w:val="20"/>
        </w:rPr>
      </w:pPr>
      <w:r w:rsidRPr="00EB61DA">
        <w:rPr>
          <w:rFonts w:ascii="Arial" w:hAnsi="Arial" w:cs="Arial"/>
          <w:sz w:val="20"/>
        </w:rPr>
        <w:t xml:space="preserve">Response in this context means that a causal relationship between a </w:t>
      </w:r>
      <w:r w:rsidR="00F463B6" w:rsidRPr="00EB61DA">
        <w:rPr>
          <w:rFonts w:ascii="Arial" w:hAnsi="Arial" w:cs="Arial"/>
          <w:sz w:val="20"/>
        </w:rPr>
        <w:t xml:space="preserve">medicine </w:t>
      </w:r>
      <w:r w:rsidRPr="00EB61DA">
        <w:rPr>
          <w:rFonts w:ascii="Arial" w:hAnsi="Arial" w:cs="Arial"/>
          <w:sz w:val="20"/>
        </w:rPr>
        <w:t>and an adverse event is at least a reasonable possibility.</w:t>
      </w:r>
    </w:p>
    <w:p w:rsidR="00760E87" w:rsidRPr="00EB61DA" w:rsidRDefault="00760E87" w:rsidP="00AA5E86">
      <w:pPr>
        <w:widowControl/>
        <w:tabs>
          <w:tab w:val="left" w:pos="0"/>
          <w:tab w:val="left" w:pos="9639"/>
        </w:tabs>
        <w:suppressAutoHyphens/>
        <w:spacing w:before="120" w:line="280" w:lineRule="atLeast"/>
        <w:ind w:left="680"/>
        <w:jc w:val="both"/>
        <w:rPr>
          <w:rFonts w:ascii="Arial" w:hAnsi="Arial" w:cs="Arial"/>
          <w:sz w:val="20"/>
        </w:rPr>
      </w:pPr>
      <w:r w:rsidRPr="00EB61DA">
        <w:rPr>
          <w:rFonts w:ascii="Arial" w:hAnsi="Arial" w:cs="Arial"/>
          <w:sz w:val="20"/>
        </w:rPr>
        <w:t>An adverse reaction includes adverse clinical consequences associated with</w:t>
      </w:r>
      <w:r w:rsidR="00BE65EB">
        <w:rPr>
          <w:rFonts w:ascii="Arial" w:hAnsi="Arial" w:cs="Arial"/>
          <w:sz w:val="20"/>
        </w:rPr>
        <w:t xml:space="preserve"> </w:t>
      </w:r>
      <w:r w:rsidR="00C13838" w:rsidRPr="00EB61DA">
        <w:rPr>
          <w:rFonts w:ascii="Arial" w:hAnsi="Arial" w:cs="Arial"/>
          <w:sz w:val="20"/>
        </w:rPr>
        <w:t>the</w:t>
      </w:r>
      <w:r w:rsidR="00BE65EB">
        <w:rPr>
          <w:rFonts w:ascii="Arial" w:hAnsi="Arial" w:cs="Arial"/>
          <w:sz w:val="20"/>
        </w:rPr>
        <w:t xml:space="preserve"> </w:t>
      </w:r>
      <w:r w:rsidRPr="00EB61DA">
        <w:rPr>
          <w:rFonts w:ascii="Arial" w:hAnsi="Arial" w:cs="Arial"/>
          <w:sz w:val="20"/>
        </w:rPr>
        <w:t xml:space="preserve">use of a medicine outside the terms of the approved </w:t>
      </w:r>
      <w:r w:rsidR="008442D3" w:rsidRPr="00EA75C0">
        <w:rPr>
          <w:rFonts w:ascii="Arial" w:hAnsi="Arial" w:cs="Arial"/>
          <w:sz w:val="20"/>
        </w:rPr>
        <w:t>professional information</w:t>
      </w:r>
      <w:r w:rsidRPr="00EB61DA">
        <w:rPr>
          <w:rFonts w:ascii="Arial" w:hAnsi="Arial" w:cs="Arial"/>
          <w:sz w:val="20"/>
        </w:rPr>
        <w:t>/ applicable product information or other conditions laid down for the marketing and use of the product (including prescribed doses higher than those recommended, overdoses or abuse).</w:t>
      </w:r>
    </w:p>
    <w:p w:rsidR="00EA436A" w:rsidRPr="00EB61DA" w:rsidRDefault="00760E87" w:rsidP="00EA436A">
      <w:pPr>
        <w:widowControl/>
        <w:tabs>
          <w:tab w:val="left" w:pos="0"/>
          <w:tab w:val="left" w:pos="9639"/>
        </w:tabs>
        <w:suppressAutoHyphens/>
        <w:spacing w:before="120" w:line="260" w:lineRule="atLeast"/>
        <w:ind w:left="680"/>
        <w:jc w:val="both"/>
        <w:rPr>
          <w:rFonts w:ascii="Arial" w:hAnsi="Arial" w:cs="Arial"/>
          <w:strike/>
          <w:sz w:val="20"/>
        </w:rPr>
      </w:pPr>
      <w:r w:rsidRPr="00EB61DA">
        <w:rPr>
          <w:rFonts w:ascii="Arial" w:hAnsi="Arial" w:cs="Arial"/>
          <w:sz w:val="20"/>
        </w:rPr>
        <w:t>A reaction, contrary to an event (as in 2.1), is characterised by the occurrence of a suspected causal relationship between the drug and the reaction, as determined by the reporter or a reviewing healthcare professional.</w:t>
      </w:r>
      <w:r w:rsidR="00CE39E5" w:rsidRPr="00EB61DA">
        <w:rPr>
          <w:rFonts w:ascii="Arial" w:hAnsi="Arial" w:cs="Arial"/>
          <w:sz w:val="20"/>
        </w:rPr>
        <w:t xml:space="preserve"> The fact that the healthcare provider / professional is making a report to a holder of a certificate of registration, serves as an indication that the observed event may be caused by the medicine. All spontaneous reports are, therefore, suspected adverse drug reactions.</w:t>
      </w:r>
    </w:p>
    <w:p w:rsidR="00760E87" w:rsidRPr="00EB61DA" w:rsidRDefault="00760E87" w:rsidP="004E1C55">
      <w:pPr>
        <w:widowControl/>
        <w:tabs>
          <w:tab w:val="left" w:pos="0"/>
          <w:tab w:val="left" w:pos="9639"/>
        </w:tabs>
        <w:suppressAutoHyphens/>
        <w:spacing w:before="120" w:line="260" w:lineRule="atLeast"/>
        <w:ind w:left="680"/>
        <w:jc w:val="both"/>
        <w:rPr>
          <w:rFonts w:ascii="Arial" w:hAnsi="Arial"/>
          <w:i/>
          <w:sz w:val="20"/>
        </w:rPr>
      </w:pPr>
      <w:r w:rsidRPr="00EB61DA">
        <w:rPr>
          <w:rFonts w:ascii="Arial" w:hAnsi="Arial" w:cs="Arial"/>
          <w:sz w:val="20"/>
        </w:rPr>
        <w:t>In the case</w:t>
      </w:r>
      <w:r w:rsidRPr="00EB61DA">
        <w:rPr>
          <w:rFonts w:ascii="Arial" w:hAnsi="Arial"/>
          <w:sz w:val="20"/>
        </w:rPr>
        <w:t xml:space="preserve"> of pre- and post-marketing studies, adverse “events” are usually systematically solicited.  In cases where there is uncertainty as to whether or not an event is a reaction, it is better to treat the event as a reaction.  For the purpose of post-marketing clinical trials, an adverse drug reaction includes any adverse event where the contribution of the study medication, concomitant medication or other medicinal intervention of the clinical trial, cannot be ruled out. </w:t>
      </w:r>
    </w:p>
    <w:p w:rsidR="00760E87" w:rsidRPr="00EB61DA" w:rsidRDefault="00760E87" w:rsidP="00AA5E86">
      <w:pPr>
        <w:pStyle w:val="Heading2"/>
        <w:spacing w:after="120"/>
      </w:pPr>
      <w:bookmarkStart w:id="14" w:name="_Toc396005393"/>
      <w:bookmarkStart w:id="15" w:name="_Toc5282768"/>
      <w:r w:rsidRPr="00EB61DA">
        <w:t>2.3</w:t>
      </w:r>
      <w:r w:rsidRPr="00EB61DA">
        <w:tab/>
        <w:t>Serious Adverse Drug Event or Adverse Drug Reaction</w:t>
      </w:r>
      <w:bookmarkEnd w:id="14"/>
      <w:bookmarkEnd w:id="15"/>
    </w:p>
    <w:tbl>
      <w:tblPr>
        <w:tblW w:w="0" w:type="auto"/>
        <w:tblInd w:w="817" w:type="dxa"/>
        <w:tblLook w:val="00A0" w:firstRow="1" w:lastRow="0" w:firstColumn="1" w:lastColumn="0" w:noHBand="0" w:noVBand="0"/>
      </w:tblPr>
      <w:tblGrid>
        <w:gridCol w:w="9048"/>
      </w:tblGrid>
      <w:tr w:rsidR="00760E87" w:rsidRPr="00EB61DA" w:rsidTr="00763168">
        <w:tc>
          <w:tcPr>
            <w:tcW w:w="9072" w:type="dxa"/>
          </w:tcPr>
          <w:p w:rsidR="00760E87" w:rsidRPr="00763168" w:rsidRDefault="0025100F" w:rsidP="00F760CA">
            <w:pPr>
              <w:widowControl/>
              <w:tabs>
                <w:tab w:val="left" w:pos="964"/>
              </w:tabs>
              <w:suppressAutoHyphens/>
              <w:spacing w:before="80" w:after="40" w:line="280" w:lineRule="atLeast"/>
              <w:jc w:val="both"/>
              <w:rPr>
                <w:rFonts w:ascii="Arial" w:hAnsi="Arial"/>
                <w:sz w:val="20"/>
              </w:rPr>
            </w:pPr>
            <w:r w:rsidRPr="0025100F">
              <w:rPr>
                <w:rFonts w:ascii="Arial" w:hAnsi="Arial"/>
                <w:sz w:val="20"/>
              </w:rPr>
              <w:t>A serious adverse event/experience or reaction is any untoward medical occurrence that at any dose:</w:t>
            </w:r>
          </w:p>
          <w:p w:rsidR="00760E87" w:rsidRPr="00763168" w:rsidRDefault="0025100F" w:rsidP="003407F8">
            <w:pPr>
              <w:widowControl/>
              <w:numPr>
                <w:ilvl w:val="0"/>
                <w:numId w:val="1"/>
              </w:numPr>
              <w:shd w:val="clear" w:color="auto" w:fill="FFFFFF"/>
              <w:tabs>
                <w:tab w:val="clear" w:pos="720"/>
                <w:tab w:val="left" w:pos="340"/>
              </w:tabs>
              <w:suppressAutoHyphens/>
              <w:spacing w:line="280" w:lineRule="atLeast"/>
              <w:ind w:left="340" w:hanging="340"/>
              <w:jc w:val="both"/>
              <w:rPr>
                <w:rFonts w:ascii="Arial" w:hAnsi="Arial"/>
                <w:sz w:val="20"/>
              </w:rPr>
            </w:pPr>
            <w:r w:rsidRPr="0025100F">
              <w:rPr>
                <w:rFonts w:ascii="Arial" w:hAnsi="Arial"/>
                <w:sz w:val="20"/>
              </w:rPr>
              <w:t>results in death;</w:t>
            </w:r>
          </w:p>
          <w:p w:rsidR="00760E87" w:rsidRPr="00763168" w:rsidRDefault="0025100F" w:rsidP="003407F8">
            <w:pPr>
              <w:widowControl/>
              <w:numPr>
                <w:ilvl w:val="0"/>
                <w:numId w:val="1"/>
              </w:numPr>
              <w:shd w:val="clear" w:color="auto" w:fill="FFFFFF"/>
              <w:tabs>
                <w:tab w:val="clear" w:pos="720"/>
                <w:tab w:val="left" w:pos="340"/>
              </w:tabs>
              <w:suppressAutoHyphens/>
              <w:spacing w:line="280" w:lineRule="atLeast"/>
              <w:ind w:left="340" w:hanging="340"/>
              <w:jc w:val="both"/>
              <w:rPr>
                <w:rFonts w:ascii="Arial" w:hAnsi="Arial"/>
                <w:sz w:val="20"/>
              </w:rPr>
            </w:pPr>
            <w:r w:rsidRPr="0025100F">
              <w:rPr>
                <w:rFonts w:ascii="Arial" w:hAnsi="Arial"/>
                <w:sz w:val="20"/>
              </w:rPr>
              <w:t>is life-threatening;</w:t>
            </w:r>
          </w:p>
          <w:p w:rsidR="00760E87" w:rsidRPr="00763168" w:rsidRDefault="0025100F" w:rsidP="003407F8">
            <w:pPr>
              <w:widowControl/>
              <w:numPr>
                <w:ilvl w:val="0"/>
                <w:numId w:val="1"/>
              </w:numPr>
              <w:shd w:val="clear" w:color="auto" w:fill="FFFFFF"/>
              <w:tabs>
                <w:tab w:val="clear" w:pos="720"/>
                <w:tab w:val="left" w:pos="340"/>
              </w:tabs>
              <w:suppressAutoHyphens/>
              <w:spacing w:line="280" w:lineRule="atLeast"/>
              <w:ind w:left="340" w:hanging="340"/>
              <w:jc w:val="both"/>
              <w:rPr>
                <w:rFonts w:ascii="Arial" w:hAnsi="Arial"/>
                <w:sz w:val="20"/>
              </w:rPr>
            </w:pPr>
            <w:r w:rsidRPr="0025100F">
              <w:rPr>
                <w:rFonts w:ascii="Arial" w:hAnsi="Arial"/>
                <w:sz w:val="20"/>
              </w:rPr>
              <w:t>requires patient hospitalisation or prolongation of existing hospitalisation;</w:t>
            </w:r>
          </w:p>
          <w:p w:rsidR="00760E87" w:rsidRPr="00763168" w:rsidRDefault="0025100F" w:rsidP="003407F8">
            <w:pPr>
              <w:widowControl/>
              <w:numPr>
                <w:ilvl w:val="0"/>
                <w:numId w:val="1"/>
              </w:numPr>
              <w:shd w:val="clear" w:color="auto" w:fill="FFFFFF"/>
              <w:tabs>
                <w:tab w:val="clear" w:pos="720"/>
                <w:tab w:val="left" w:pos="340"/>
              </w:tabs>
              <w:suppressAutoHyphens/>
              <w:spacing w:line="280" w:lineRule="atLeast"/>
              <w:ind w:left="340" w:hanging="340"/>
              <w:jc w:val="both"/>
              <w:rPr>
                <w:rFonts w:ascii="Arial" w:hAnsi="Arial"/>
                <w:sz w:val="20"/>
              </w:rPr>
            </w:pPr>
            <w:r w:rsidRPr="0025100F">
              <w:rPr>
                <w:rFonts w:ascii="Arial" w:hAnsi="Arial"/>
                <w:sz w:val="20"/>
              </w:rPr>
              <w:t>results in a congenital anomaly/birth defect;</w:t>
            </w:r>
          </w:p>
          <w:p w:rsidR="00F217F7" w:rsidRPr="00763168" w:rsidRDefault="0025100F" w:rsidP="00F217F7">
            <w:pPr>
              <w:widowControl/>
              <w:numPr>
                <w:ilvl w:val="0"/>
                <w:numId w:val="1"/>
              </w:numPr>
              <w:shd w:val="clear" w:color="auto" w:fill="FFFFFF"/>
              <w:tabs>
                <w:tab w:val="clear" w:pos="720"/>
                <w:tab w:val="left" w:pos="340"/>
              </w:tabs>
              <w:suppressAutoHyphens/>
              <w:spacing w:line="280" w:lineRule="atLeast"/>
              <w:ind w:left="340" w:hanging="340"/>
              <w:jc w:val="both"/>
              <w:rPr>
                <w:rFonts w:ascii="Arial" w:hAnsi="Arial"/>
                <w:sz w:val="20"/>
              </w:rPr>
            </w:pPr>
            <w:r w:rsidRPr="0025100F">
              <w:rPr>
                <w:rFonts w:ascii="Arial" w:hAnsi="Arial"/>
                <w:sz w:val="20"/>
              </w:rPr>
              <w:t>results in persistent or significant disability/incapacity; or</w:t>
            </w:r>
          </w:p>
          <w:p w:rsidR="00760E87" w:rsidRPr="00EB61DA" w:rsidRDefault="0025100F" w:rsidP="003407F8">
            <w:pPr>
              <w:widowControl/>
              <w:numPr>
                <w:ilvl w:val="0"/>
                <w:numId w:val="1"/>
              </w:numPr>
              <w:shd w:val="clear" w:color="auto" w:fill="FFFFFF"/>
              <w:tabs>
                <w:tab w:val="clear" w:pos="720"/>
                <w:tab w:val="left" w:pos="340"/>
              </w:tabs>
              <w:suppressAutoHyphens/>
              <w:spacing w:after="60" w:line="280" w:lineRule="atLeast"/>
              <w:ind w:left="340" w:hanging="340"/>
              <w:jc w:val="both"/>
              <w:rPr>
                <w:rFonts w:ascii="Arial" w:hAnsi="Arial"/>
                <w:b/>
                <w:sz w:val="20"/>
                <w:u w:val="single"/>
              </w:rPr>
            </w:pPr>
            <w:r w:rsidRPr="0025100F">
              <w:rPr>
                <w:rFonts w:ascii="Arial" w:hAnsi="Arial"/>
                <w:sz w:val="20"/>
              </w:rPr>
              <w:t>is a medically significant / important event or reaction.</w:t>
            </w:r>
          </w:p>
        </w:tc>
      </w:tr>
    </w:tbl>
    <w:p w:rsidR="00760E87" w:rsidRPr="00EB61DA" w:rsidRDefault="00760E87" w:rsidP="00AA5E86">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line="280" w:lineRule="atLeast"/>
        <w:ind w:left="680"/>
        <w:rPr>
          <w:color w:val="auto"/>
          <w:sz w:val="20"/>
        </w:rPr>
      </w:pPr>
      <w:r w:rsidRPr="00EB61DA">
        <w:rPr>
          <w:color w:val="auto"/>
          <w:sz w:val="20"/>
        </w:rPr>
        <w:t>The term “life-threatening” in the definition of “serious” refers to a reaction/event in which the patient was at risk of death at the time of the reaction/event; it does not refer to an event which</w:t>
      </w:r>
      <w:r w:rsidR="00A822BC" w:rsidRPr="00EB61DA">
        <w:rPr>
          <w:color w:val="auto"/>
          <w:sz w:val="20"/>
        </w:rPr>
        <w:t>,</w:t>
      </w:r>
      <w:r w:rsidRPr="00EB61DA">
        <w:rPr>
          <w:color w:val="auto"/>
          <w:sz w:val="20"/>
        </w:rPr>
        <w:t xml:space="preserve"> hypothetically</w:t>
      </w:r>
      <w:r w:rsidR="00A822BC" w:rsidRPr="00EB61DA">
        <w:rPr>
          <w:color w:val="auto"/>
          <w:sz w:val="20"/>
        </w:rPr>
        <w:t>,</w:t>
      </w:r>
      <w:r w:rsidRPr="00EB61DA">
        <w:rPr>
          <w:color w:val="auto"/>
          <w:sz w:val="20"/>
        </w:rPr>
        <w:t xml:space="preserve"> might have caused death if it were more severe.</w:t>
      </w:r>
    </w:p>
    <w:p w:rsidR="00760E87" w:rsidRPr="00EB61DA" w:rsidRDefault="00760E87" w:rsidP="004E1C5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line="260" w:lineRule="atLeast"/>
        <w:ind w:left="680"/>
        <w:rPr>
          <w:color w:val="auto"/>
          <w:sz w:val="20"/>
        </w:rPr>
      </w:pPr>
      <w:r w:rsidRPr="00EB61DA">
        <w:rPr>
          <w:color w:val="auto"/>
          <w:sz w:val="20"/>
        </w:rPr>
        <w:t xml:space="preserve">Medical and scientific judgement should be exercised when deciding whether other situations are serious or not.  Such instances could include medical events that may not be immediately life-threatening or result in death or hospitalisation, but which may jeopardise the patient or may require intervention to prevent one of the outcomes listed in the definition above.  Examples include blood </w:t>
      </w:r>
      <w:proofErr w:type="spellStart"/>
      <w:r w:rsidRPr="00EB61DA">
        <w:rPr>
          <w:color w:val="auto"/>
          <w:sz w:val="20"/>
        </w:rPr>
        <w:t>dyscrasias</w:t>
      </w:r>
      <w:proofErr w:type="spellEnd"/>
      <w:r w:rsidRPr="00EB61DA">
        <w:rPr>
          <w:color w:val="auto"/>
          <w:sz w:val="20"/>
        </w:rPr>
        <w:t xml:space="preserve"> or convulsions not resulting in hospitalisation, or development of drug dependency or drug abuse.</w:t>
      </w:r>
    </w:p>
    <w:p w:rsidR="00760E87" w:rsidRPr="00EB61DA" w:rsidRDefault="00760E87" w:rsidP="004E1C55">
      <w:pPr>
        <w:widowControl/>
        <w:tabs>
          <w:tab w:val="left" w:pos="709"/>
          <w:tab w:val="left" w:pos="9639"/>
        </w:tabs>
        <w:suppressAutoHyphens/>
        <w:spacing w:before="120" w:line="260" w:lineRule="atLeast"/>
        <w:ind w:left="680"/>
        <w:jc w:val="both"/>
        <w:rPr>
          <w:rFonts w:ascii="Arial" w:hAnsi="Arial" w:cs="Arial"/>
          <w:sz w:val="20"/>
        </w:rPr>
      </w:pPr>
      <w:r w:rsidRPr="00EB61DA">
        <w:rPr>
          <w:rFonts w:ascii="Arial" w:hAnsi="Arial" w:cs="Arial"/>
          <w:sz w:val="20"/>
        </w:rPr>
        <w:t>The term “severe” is often used to describe the intensity (severity) of a specific event. This is not the same as “serious</w:t>
      </w:r>
      <w:r w:rsidR="00642084" w:rsidRPr="00EB61DA">
        <w:rPr>
          <w:rFonts w:ascii="Arial" w:hAnsi="Arial" w:cs="Arial"/>
          <w:sz w:val="20"/>
        </w:rPr>
        <w:t>’</w:t>
      </w:r>
      <w:r w:rsidRPr="00EB61DA">
        <w:rPr>
          <w:rFonts w:ascii="Arial" w:hAnsi="Arial" w:cs="Arial"/>
          <w:sz w:val="20"/>
        </w:rPr>
        <w:t>, which is based on patient/event outcome or action criteria.</w:t>
      </w:r>
    </w:p>
    <w:p w:rsidR="00760E87" w:rsidRPr="00EB61DA" w:rsidRDefault="00760E87" w:rsidP="00AA5E86">
      <w:pPr>
        <w:pStyle w:val="Heading2"/>
        <w:spacing w:after="120"/>
      </w:pPr>
      <w:bookmarkStart w:id="16" w:name="_Toc396005394"/>
      <w:bookmarkStart w:id="17" w:name="_Toc5282769"/>
      <w:r w:rsidRPr="00EB61DA">
        <w:lastRenderedPageBreak/>
        <w:t>2.4</w:t>
      </w:r>
      <w:r w:rsidRPr="00EB61DA">
        <w:tab/>
        <w:t xml:space="preserve">Unexpected </w:t>
      </w:r>
      <w:r w:rsidR="00BC508F" w:rsidRPr="00EB61DA">
        <w:t xml:space="preserve">(unlisted) </w:t>
      </w:r>
      <w:r w:rsidRPr="00EB61DA">
        <w:t>Adverse Drug Reaction</w:t>
      </w:r>
      <w:bookmarkEnd w:id="16"/>
      <w:bookmarkEnd w:id="17"/>
    </w:p>
    <w:p w:rsidR="008F11D0" w:rsidRDefault="008F11D0" w:rsidP="00EB61DA">
      <w:pPr>
        <w:widowControl/>
        <w:tabs>
          <w:tab w:val="left" w:pos="9639"/>
        </w:tabs>
        <w:suppressAutoHyphens/>
        <w:spacing w:before="120" w:line="280" w:lineRule="atLeast"/>
        <w:ind w:left="680"/>
        <w:jc w:val="both"/>
        <w:rPr>
          <w:rFonts w:ascii="Arial" w:hAnsi="Arial" w:cs="Arial"/>
          <w:sz w:val="20"/>
        </w:rPr>
      </w:pPr>
      <w:r w:rsidRPr="0025100F">
        <w:rPr>
          <w:rFonts w:ascii="Arial" w:hAnsi="Arial" w:cs="Arial"/>
          <w:sz w:val="20"/>
        </w:rPr>
        <w:t xml:space="preserve">For the purposes of this guideline, an “unexpected” adverse reaction is one in which the nature, specificity, severity and outcome is not consistent with the approved </w:t>
      </w:r>
      <w:r w:rsidRPr="00EA75C0">
        <w:rPr>
          <w:rFonts w:ascii="Arial" w:hAnsi="Arial" w:cs="Arial"/>
          <w:sz w:val="20"/>
        </w:rPr>
        <w:t>professional</w:t>
      </w:r>
      <w:r w:rsidRPr="00AB6897">
        <w:rPr>
          <w:rFonts w:ascii="Arial" w:hAnsi="Arial" w:cs="Arial"/>
          <w:color w:val="1F497D" w:themeColor="text2"/>
          <w:sz w:val="20"/>
        </w:rPr>
        <w:t xml:space="preserve"> </w:t>
      </w:r>
      <w:r w:rsidRPr="00EA75C0">
        <w:rPr>
          <w:rFonts w:ascii="Arial" w:hAnsi="Arial" w:cs="Arial"/>
          <w:sz w:val="20"/>
        </w:rPr>
        <w:t>information</w:t>
      </w:r>
      <w:r w:rsidRPr="00AB6897">
        <w:rPr>
          <w:rFonts w:ascii="Arial" w:hAnsi="Arial" w:cs="Arial"/>
          <w:color w:val="1F497D" w:themeColor="text2"/>
          <w:sz w:val="20"/>
        </w:rPr>
        <w:t xml:space="preserve"> </w:t>
      </w:r>
      <w:r w:rsidRPr="0025100F">
        <w:rPr>
          <w:rFonts w:ascii="Arial" w:hAnsi="Arial" w:cs="Arial"/>
          <w:sz w:val="20"/>
        </w:rPr>
        <w:t>for a registered medicine</w:t>
      </w:r>
    </w:p>
    <w:p w:rsidR="00E27B89" w:rsidRPr="00EB61DA" w:rsidRDefault="00760E87" w:rsidP="00EB61DA">
      <w:pPr>
        <w:widowControl/>
        <w:tabs>
          <w:tab w:val="left" w:pos="9639"/>
        </w:tabs>
        <w:suppressAutoHyphens/>
        <w:spacing w:before="120" w:line="280" w:lineRule="atLeast"/>
        <w:ind w:left="680"/>
        <w:jc w:val="both"/>
        <w:rPr>
          <w:rFonts w:ascii="Arial" w:hAnsi="Arial" w:cs="Arial"/>
          <w:sz w:val="20"/>
        </w:rPr>
      </w:pPr>
      <w:r w:rsidRPr="00EB61DA">
        <w:rPr>
          <w:rFonts w:ascii="Arial" w:hAnsi="Arial" w:cs="Arial"/>
          <w:sz w:val="20"/>
        </w:rPr>
        <w:t xml:space="preserve">An unexpected reaction includes class-related reactions which are mentioned in the applicable </w:t>
      </w:r>
      <w:r w:rsidR="00CD117E" w:rsidRPr="00EB61DA">
        <w:rPr>
          <w:rFonts w:ascii="Arial" w:hAnsi="Arial" w:cs="Arial"/>
          <w:sz w:val="20"/>
        </w:rPr>
        <w:t>medicine</w:t>
      </w:r>
      <w:r w:rsidRPr="00EB61DA">
        <w:rPr>
          <w:rFonts w:ascii="Arial" w:hAnsi="Arial" w:cs="Arial"/>
          <w:sz w:val="20"/>
        </w:rPr>
        <w:t xml:space="preserve"> information but which are not specifically described as occurring with a </w:t>
      </w:r>
      <w:r w:rsidR="00CD117E" w:rsidRPr="00EB61DA">
        <w:rPr>
          <w:rFonts w:ascii="Arial" w:hAnsi="Arial" w:cs="Arial"/>
          <w:sz w:val="20"/>
        </w:rPr>
        <w:t>medicine</w:t>
      </w:r>
      <w:r w:rsidRPr="00EB61DA">
        <w:rPr>
          <w:rFonts w:ascii="Arial" w:hAnsi="Arial" w:cs="Arial"/>
          <w:sz w:val="20"/>
        </w:rPr>
        <w:t>. When the outcome of the adverse reaction is not consistent with the applicable</w:t>
      </w:r>
      <w:r w:rsidR="00BE65EB">
        <w:rPr>
          <w:rFonts w:ascii="Arial" w:hAnsi="Arial" w:cs="Arial"/>
          <w:sz w:val="20"/>
        </w:rPr>
        <w:t xml:space="preserve"> </w:t>
      </w:r>
      <w:r w:rsidR="00CD117E" w:rsidRPr="00EB61DA">
        <w:rPr>
          <w:rFonts w:ascii="Arial" w:hAnsi="Arial" w:cs="Arial"/>
          <w:sz w:val="20"/>
        </w:rPr>
        <w:t>medicine</w:t>
      </w:r>
      <w:r w:rsidRPr="00EB61DA">
        <w:rPr>
          <w:rFonts w:ascii="Arial" w:hAnsi="Arial" w:cs="Arial"/>
          <w:sz w:val="20"/>
        </w:rPr>
        <w:t xml:space="preserve"> information the adverse reaction should be considered as unexpected.</w:t>
      </w:r>
    </w:p>
    <w:p w:rsidR="00BE65EB" w:rsidRDefault="00BC508F" w:rsidP="00BE65EB">
      <w:pPr>
        <w:widowControl/>
        <w:tabs>
          <w:tab w:val="left" w:pos="9639"/>
        </w:tabs>
        <w:suppressAutoHyphens/>
        <w:spacing w:before="120" w:line="260" w:lineRule="atLeast"/>
        <w:ind w:left="680"/>
        <w:jc w:val="both"/>
        <w:rPr>
          <w:rFonts w:ascii="Arial" w:hAnsi="Arial" w:cs="Arial"/>
          <w:sz w:val="20"/>
        </w:rPr>
      </w:pPr>
      <w:r w:rsidRPr="00EB61DA">
        <w:rPr>
          <w:rFonts w:ascii="Arial" w:hAnsi="Arial"/>
          <w:sz w:val="20"/>
        </w:rPr>
        <w:t>An expected ADR with a fatal outcome should be considered unexpected</w:t>
      </w:r>
      <w:r w:rsidRPr="00EB61DA">
        <w:rPr>
          <w:rFonts w:ascii="Arial" w:hAnsi="Arial" w:cs="Arial"/>
          <w:sz w:val="20"/>
        </w:rPr>
        <w:t xml:space="preserve"> unless the South African labelling specifically states that the ADR might be associated with a fatal outcome.</w:t>
      </w:r>
    </w:p>
    <w:p w:rsidR="008442D3" w:rsidRPr="00EA75C0" w:rsidRDefault="00BE65EB" w:rsidP="008442D3">
      <w:pPr>
        <w:pStyle w:val="Heading2"/>
      </w:pPr>
      <w:bookmarkStart w:id="18" w:name="_Toc5282770"/>
      <w:r>
        <w:t>2.5</w:t>
      </w:r>
      <w:r>
        <w:tab/>
      </w:r>
      <w:r w:rsidR="0025100F" w:rsidRPr="00EA75C0">
        <w:t>Significant safety issue</w:t>
      </w:r>
      <w:bookmarkEnd w:id="18"/>
    </w:p>
    <w:p w:rsidR="001E104C" w:rsidRPr="00EA75C0" w:rsidRDefault="001E104C" w:rsidP="00BE65EB">
      <w:pPr>
        <w:widowControl/>
        <w:tabs>
          <w:tab w:val="left" w:pos="9639"/>
        </w:tabs>
        <w:suppressAutoHyphens/>
        <w:spacing w:before="120" w:line="260" w:lineRule="atLeast"/>
        <w:ind w:left="680"/>
        <w:jc w:val="both"/>
        <w:rPr>
          <w:rFonts w:ascii="Arial" w:hAnsi="Arial" w:cs="Arial"/>
          <w:sz w:val="20"/>
        </w:rPr>
      </w:pPr>
      <w:r w:rsidRPr="00EA75C0">
        <w:rPr>
          <w:rFonts w:ascii="Arial" w:hAnsi="Arial" w:cs="Arial"/>
          <w:sz w:val="20"/>
        </w:rPr>
        <w:t>A significant safety issue is a new safety issue or va</w:t>
      </w:r>
      <w:r w:rsidR="00D859A9" w:rsidRPr="00EA75C0">
        <w:rPr>
          <w:rFonts w:ascii="Arial" w:hAnsi="Arial" w:cs="Arial"/>
          <w:sz w:val="20"/>
        </w:rPr>
        <w:t>lidated signal considered by the applicant in relation to their</w:t>
      </w:r>
      <w:r w:rsidRPr="00EA75C0">
        <w:rPr>
          <w:rFonts w:ascii="Arial" w:hAnsi="Arial" w:cs="Arial"/>
          <w:sz w:val="20"/>
        </w:rPr>
        <w:t xml:space="preserve"> medicines that requ</w:t>
      </w:r>
      <w:r w:rsidR="00C71D1B" w:rsidRPr="00EA75C0">
        <w:rPr>
          <w:rFonts w:ascii="Arial" w:hAnsi="Arial" w:cs="Arial"/>
          <w:sz w:val="20"/>
        </w:rPr>
        <w:t xml:space="preserve">ires urgent attention of </w:t>
      </w:r>
      <w:r w:rsidR="008442D3" w:rsidRPr="00EA75C0">
        <w:rPr>
          <w:rFonts w:ascii="Arial" w:hAnsi="Arial" w:cs="Arial"/>
          <w:sz w:val="20"/>
        </w:rPr>
        <w:t>the Authority</w:t>
      </w:r>
      <w:r w:rsidRPr="00EA75C0">
        <w:rPr>
          <w:rFonts w:ascii="Arial" w:hAnsi="Arial" w:cs="Arial"/>
          <w:sz w:val="20"/>
        </w:rPr>
        <w:t>. This may be because of the seriousness and potential major impact on the benefit-risk balance of the medicine and/or on patient or public health, which could warrant prompt regulatory action and / or communication to patients a</w:t>
      </w:r>
      <w:r w:rsidR="00D859A9" w:rsidRPr="00EA75C0">
        <w:rPr>
          <w:rFonts w:ascii="Arial" w:hAnsi="Arial" w:cs="Arial"/>
          <w:sz w:val="20"/>
        </w:rPr>
        <w:t>nd healthcare professionals. The applicant</w:t>
      </w:r>
      <w:r w:rsidRPr="00EA75C0">
        <w:rPr>
          <w:rFonts w:ascii="Arial" w:hAnsi="Arial" w:cs="Arial"/>
          <w:sz w:val="20"/>
        </w:rPr>
        <w:t xml:space="preserve"> can identify significant safety issues as a result of ongoing review and analysis of all information that is pertinent to the safety and benefit-risk balance of the medicine.</w:t>
      </w:r>
      <w:r w:rsidR="00BE65EB" w:rsidRPr="00EA75C0">
        <w:rPr>
          <w:rFonts w:ascii="Arial" w:hAnsi="Arial" w:cs="Arial"/>
          <w:sz w:val="20"/>
        </w:rPr>
        <w:t xml:space="preserve"> </w:t>
      </w:r>
      <w:r w:rsidRPr="00EA75C0">
        <w:rPr>
          <w:rFonts w:ascii="Arial" w:hAnsi="Arial" w:cs="Arial"/>
          <w:sz w:val="20"/>
        </w:rPr>
        <w:t>A safety issue leading to international regulatory action is considered to be significant at</w:t>
      </w:r>
      <w:r w:rsidR="00D121E5" w:rsidRPr="00EA75C0">
        <w:rPr>
          <w:rFonts w:ascii="Arial" w:hAnsi="Arial" w:cs="Arial"/>
          <w:sz w:val="20"/>
        </w:rPr>
        <w:t xml:space="preserve"> all times and hence reportable.</w:t>
      </w:r>
    </w:p>
    <w:p w:rsidR="00760E87" w:rsidRDefault="00760E87" w:rsidP="00E34C9A">
      <w:pPr>
        <w:pStyle w:val="Heading2"/>
        <w:spacing w:after="120" w:line="260" w:lineRule="atLeast"/>
      </w:pPr>
      <w:bookmarkStart w:id="19" w:name="_Toc396005395"/>
      <w:bookmarkStart w:id="20" w:name="_Toc5282771"/>
      <w:r>
        <w:t>2.</w:t>
      </w:r>
      <w:r w:rsidR="00BE65EB">
        <w:t>6</w:t>
      </w:r>
      <w:r>
        <w:tab/>
        <w:t xml:space="preserve">Adverse Drug Reaction </w:t>
      </w:r>
      <w:bookmarkEnd w:id="19"/>
      <w:r w:rsidR="00D154B4">
        <w:t>Report</w:t>
      </w:r>
      <w:r w:rsidR="00D154B4" w:rsidRPr="009520EE">
        <w:t xml:space="preserve"> (</w:t>
      </w:r>
      <w:r w:rsidR="007E4232" w:rsidRPr="009520EE">
        <w:t>I</w:t>
      </w:r>
      <w:r w:rsidR="00BC508F" w:rsidRPr="009520EE">
        <w:t xml:space="preserve">ndividual </w:t>
      </w:r>
      <w:r w:rsidR="007E4232" w:rsidRPr="009520EE">
        <w:t>Case Safety R</w:t>
      </w:r>
      <w:r w:rsidR="00BC508F" w:rsidRPr="009520EE">
        <w:t>eport)</w:t>
      </w:r>
      <w:bookmarkEnd w:id="20"/>
    </w:p>
    <w:p w:rsidR="008F11D0" w:rsidRPr="008F11D0" w:rsidRDefault="008F11D0" w:rsidP="008F11D0">
      <w:pPr>
        <w:ind w:left="680"/>
      </w:pPr>
      <w:r w:rsidRPr="0025100F">
        <w:rPr>
          <w:rFonts w:ascii="Arial" w:hAnsi="Arial" w:cs="Arial"/>
          <w:sz w:val="20"/>
        </w:rPr>
        <w:t>An adverse drug reaction report is a detailed record of all relevant data associated with the use of a medicine in a subject or patient.</w:t>
      </w:r>
    </w:p>
    <w:p w:rsidR="00760E87" w:rsidRDefault="004C7330" w:rsidP="00910F32">
      <w:pPr>
        <w:pStyle w:val="Heading2"/>
        <w:spacing w:after="120" w:line="260" w:lineRule="atLeast"/>
      </w:pPr>
      <w:bookmarkStart w:id="21" w:name="_Toc396005396"/>
      <w:bookmarkStart w:id="22" w:name="_Toc5282772"/>
      <w:r>
        <w:t>2.</w:t>
      </w:r>
      <w:r w:rsidR="00BE65EB">
        <w:t>7</w:t>
      </w:r>
      <w:r w:rsidR="008464D1">
        <w:tab/>
      </w:r>
      <w:r w:rsidR="00F760CA" w:rsidRPr="005F7F60">
        <w:t>Spontaneous</w:t>
      </w:r>
      <w:r w:rsidR="00F760CA">
        <w:t xml:space="preserve"> Report o</w:t>
      </w:r>
      <w:r w:rsidR="00760E87">
        <w:t>r Notification</w:t>
      </w:r>
      <w:bookmarkEnd w:id="21"/>
      <w:bookmarkEnd w:id="22"/>
    </w:p>
    <w:p w:rsidR="008F11D0" w:rsidRPr="008F11D0" w:rsidRDefault="008F11D0" w:rsidP="008F11D0">
      <w:pPr>
        <w:ind w:left="680"/>
      </w:pPr>
      <w:r w:rsidRPr="0025100F">
        <w:rPr>
          <w:rFonts w:ascii="Arial" w:hAnsi="Arial"/>
          <w:sz w:val="20"/>
        </w:rPr>
        <w:t>A spontaneous report is a communication to a company, regulatory authority or other organisation that describes a suspected adverse drug reaction in a patient given one or more medicines, and which does not derive from a study</w:t>
      </w:r>
    </w:p>
    <w:p w:rsidR="007E4232" w:rsidRPr="009520EE" w:rsidRDefault="00760E87" w:rsidP="00910F32">
      <w:pPr>
        <w:pStyle w:val="Heading2"/>
        <w:spacing w:after="120" w:line="260" w:lineRule="atLeast"/>
      </w:pPr>
      <w:bookmarkStart w:id="23" w:name="_Toc5282773"/>
      <w:bookmarkStart w:id="24" w:name="_Toc396005397"/>
      <w:r w:rsidRPr="009520EE">
        <w:t>2.</w:t>
      </w:r>
      <w:r w:rsidR="001508EB">
        <w:t>8</w:t>
      </w:r>
      <w:r w:rsidRPr="009520EE">
        <w:tab/>
      </w:r>
      <w:r w:rsidR="007E4232" w:rsidRPr="009520EE">
        <w:t>Solicited Reports</w:t>
      </w:r>
      <w:bookmarkEnd w:id="23"/>
    </w:p>
    <w:p w:rsidR="008F11D0" w:rsidRDefault="008F11D0">
      <w:pPr>
        <w:spacing w:before="120" w:line="280" w:lineRule="atLeast"/>
        <w:ind w:left="720"/>
        <w:jc w:val="both"/>
        <w:rPr>
          <w:rFonts w:ascii="Arial" w:hAnsi="Arial" w:cs="Arial"/>
          <w:sz w:val="20"/>
        </w:rPr>
      </w:pPr>
      <w:r w:rsidRPr="0025100F">
        <w:rPr>
          <w:rFonts w:ascii="Arial" w:hAnsi="Arial"/>
          <w:sz w:val="20"/>
        </w:rPr>
        <w:t>Solicited reports are defined as those derived from organised data collection systems, which include clinical trials, registries, post-approval named patient programmes, other patient support and disease management programmes, surveys of patients or healthcare providers, or information gathering on efficacy or patient adherence.</w:t>
      </w:r>
    </w:p>
    <w:p w:rsidR="002E3BA4" w:rsidRDefault="007E4232">
      <w:pPr>
        <w:spacing w:before="120" w:line="280" w:lineRule="atLeast"/>
        <w:ind w:left="720"/>
        <w:jc w:val="both"/>
        <w:rPr>
          <w:rFonts w:ascii="Arial" w:hAnsi="Arial" w:cs="Arial"/>
          <w:sz w:val="20"/>
        </w:rPr>
      </w:pPr>
      <w:r w:rsidRPr="009520EE">
        <w:rPr>
          <w:rFonts w:ascii="Arial" w:hAnsi="Arial" w:cs="Arial"/>
          <w:sz w:val="20"/>
        </w:rPr>
        <w:t>For the purpose of safety reporting, solicited reports should be classified as Individual Case Safety Reports.</w:t>
      </w:r>
    </w:p>
    <w:p w:rsidR="00760E87" w:rsidRDefault="007E4232" w:rsidP="00910F32">
      <w:pPr>
        <w:pStyle w:val="Heading2"/>
        <w:spacing w:after="120" w:line="260" w:lineRule="atLeast"/>
      </w:pPr>
      <w:bookmarkStart w:id="25" w:name="_Toc5282774"/>
      <w:r>
        <w:t>2.</w:t>
      </w:r>
      <w:r w:rsidR="001508EB">
        <w:t>9</w:t>
      </w:r>
      <w:r>
        <w:tab/>
      </w:r>
      <w:r w:rsidR="00760E87">
        <w:t>Reportable Adverse Reaction – Minimum Information</w:t>
      </w:r>
      <w:bookmarkEnd w:id="24"/>
      <w:bookmarkEnd w:id="25"/>
    </w:p>
    <w:tbl>
      <w:tblPr>
        <w:tblW w:w="0" w:type="auto"/>
        <w:tblInd w:w="817" w:type="dxa"/>
        <w:tblLook w:val="00A0" w:firstRow="1" w:lastRow="0" w:firstColumn="1" w:lastColumn="0" w:noHBand="0" w:noVBand="0"/>
      </w:tblPr>
      <w:tblGrid>
        <w:gridCol w:w="9048"/>
      </w:tblGrid>
      <w:tr w:rsidR="00760E87" w:rsidRPr="00EB61DA" w:rsidTr="00763168">
        <w:tc>
          <w:tcPr>
            <w:tcW w:w="9214" w:type="dxa"/>
          </w:tcPr>
          <w:p w:rsidR="002E3BA4" w:rsidRDefault="0025100F">
            <w:pPr>
              <w:widowControl/>
              <w:suppressAutoHyphens/>
              <w:spacing w:before="80" w:line="280" w:lineRule="atLeast"/>
              <w:ind w:left="-97"/>
              <w:rPr>
                <w:rFonts w:ascii="Arial" w:hAnsi="Arial"/>
                <w:sz w:val="20"/>
              </w:rPr>
            </w:pPr>
            <w:r w:rsidRPr="0025100F">
              <w:rPr>
                <w:rFonts w:ascii="Arial" w:hAnsi="Arial"/>
                <w:sz w:val="20"/>
              </w:rPr>
              <w:t>A reportable ADR requires the following minimum information:</w:t>
            </w:r>
          </w:p>
          <w:p w:rsidR="00760E87" w:rsidRPr="00763168" w:rsidRDefault="0025100F" w:rsidP="00EB61DA">
            <w:pPr>
              <w:widowControl/>
              <w:numPr>
                <w:ilvl w:val="0"/>
                <w:numId w:val="2"/>
              </w:numPr>
              <w:shd w:val="clear" w:color="auto" w:fill="FFFFFF"/>
              <w:tabs>
                <w:tab w:val="clear" w:pos="720"/>
                <w:tab w:val="left" w:pos="340"/>
              </w:tabs>
              <w:suppressAutoHyphens/>
              <w:spacing w:before="60" w:line="280" w:lineRule="atLeast"/>
              <w:ind w:left="340" w:hanging="340"/>
              <w:jc w:val="both"/>
              <w:rPr>
                <w:rFonts w:ascii="Arial" w:hAnsi="Arial"/>
                <w:sz w:val="20"/>
              </w:rPr>
            </w:pPr>
            <w:r w:rsidRPr="0025100F">
              <w:rPr>
                <w:rFonts w:ascii="Arial" w:hAnsi="Arial"/>
                <w:sz w:val="20"/>
              </w:rPr>
              <w:t>an identifiable source (reporter) of the information.  This should include the name or initials and address of the reporter and the reporter’s qualification (e.g. doctor, dentist, pharmacist, nurse or lay person);</w:t>
            </w:r>
          </w:p>
          <w:p w:rsidR="00760E87" w:rsidRPr="00763168" w:rsidRDefault="0025100F" w:rsidP="004E1C55">
            <w:pPr>
              <w:widowControl/>
              <w:numPr>
                <w:ilvl w:val="0"/>
                <w:numId w:val="2"/>
              </w:numPr>
              <w:shd w:val="clear" w:color="auto" w:fill="FFFFFF"/>
              <w:tabs>
                <w:tab w:val="clear" w:pos="720"/>
                <w:tab w:val="left" w:pos="340"/>
              </w:tabs>
              <w:suppressAutoHyphens/>
              <w:spacing w:before="60" w:line="280" w:lineRule="atLeast"/>
              <w:ind w:left="340" w:hanging="340"/>
              <w:jc w:val="both"/>
              <w:rPr>
                <w:rFonts w:ascii="Arial" w:hAnsi="Arial"/>
                <w:sz w:val="20"/>
              </w:rPr>
            </w:pPr>
            <w:r w:rsidRPr="0025100F">
              <w:rPr>
                <w:rFonts w:ascii="Arial" w:hAnsi="Arial"/>
                <w:sz w:val="20"/>
              </w:rPr>
              <w:t>an identifiable patient.  A patient may be identified by surname and forename(s) or initials of surname and forenames, or by a reference number, or by age or gender;</w:t>
            </w:r>
          </w:p>
          <w:p w:rsidR="00760E87" w:rsidRPr="00763168" w:rsidRDefault="0025100F" w:rsidP="004E1C55">
            <w:pPr>
              <w:widowControl/>
              <w:numPr>
                <w:ilvl w:val="0"/>
                <w:numId w:val="2"/>
              </w:numPr>
              <w:shd w:val="clear" w:color="auto" w:fill="FFFFFF"/>
              <w:tabs>
                <w:tab w:val="clear" w:pos="720"/>
                <w:tab w:val="left" w:pos="340"/>
              </w:tabs>
              <w:suppressAutoHyphens/>
              <w:spacing w:before="60" w:line="280" w:lineRule="atLeast"/>
              <w:ind w:left="340" w:hanging="340"/>
              <w:jc w:val="both"/>
              <w:rPr>
                <w:rFonts w:ascii="Arial" w:hAnsi="Arial"/>
                <w:sz w:val="20"/>
              </w:rPr>
            </w:pPr>
            <w:r w:rsidRPr="0025100F">
              <w:rPr>
                <w:rFonts w:ascii="Arial" w:hAnsi="Arial"/>
                <w:sz w:val="20"/>
              </w:rPr>
              <w:lastRenderedPageBreak/>
              <w:t>suspected medicine(s); and</w:t>
            </w:r>
          </w:p>
          <w:p w:rsidR="00760E87" w:rsidRPr="00EB61DA" w:rsidRDefault="0025100F" w:rsidP="00EB61DA">
            <w:pPr>
              <w:widowControl/>
              <w:numPr>
                <w:ilvl w:val="0"/>
                <w:numId w:val="2"/>
              </w:numPr>
              <w:shd w:val="clear" w:color="auto" w:fill="FFFFFF"/>
              <w:tabs>
                <w:tab w:val="clear" w:pos="720"/>
                <w:tab w:val="left" w:pos="340"/>
              </w:tabs>
              <w:suppressAutoHyphens/>
              <w:spacing w:before="60" w:after="60" w:line="280" w:lineRule="atLeast"/>
              <w:ind w:left="340" w:hanging="340"/>
              <w:jc w:val="both"/>
              <w:rPr>
                <w:rFonts w:ascii="Arial" w:hAnsi="Arial"/>
                <w:sz w:val="20"/>
              </w:rPr>
            </w:pPr>
            <w:r w:rsidRPr="0025100F">
              <w:rPr>
                <w:rFonts w:ascii="Arial" w:hAnsi="Arial"/>
                <w:sz w:val="20"/>
              </w:rPr>
              <w:t>suspected reaction(s).</w:t>
            </w:r>
          </w:p>
        </w:tc>
      </w:tr>
    </w:tbl>
    <w:p w:rsidR="00760E87" w:rsidRDefault="00760E87" w:rsidP="00EB61DA">
      <w:pPr>
        <w:widowControl/>
        <w:suppressAutoHyphens/>
        <w:spacing w:before="120" w:line="280" w:lineRule="atLeast"/>
        <w:ind w:left="680"/>
        <w:jc w:val="both"/>
        <w:rPr>
          <w:rFonts w:ascii="Arial" w:hAnsi="Arial"/>
          <w:b/>
          <w:sz w:val="20"/>
        </w:rPr>
      </w:pPr>
      <w:r>
        <w:rPr>
          <w:rFonts w:ascii="Arial" w:hAnsi="Arial"/>
          <w:sz w:val="20"/>
        </w:rPr>
        <w:lastRenderedPageBreak/>
        <w:t>Information, additional to the minimum, should be actively sought and submitted as soon as it becomes available.</w:t>
      </w:r>
    </w:p>
    <w:p w:rsidR="00760E87" w:rsidRDefault="007E4232" w:rsidP="00910F32">
      <w:pPr>
        <w:pStyle w:val="Heading2"/>
        <w:spacing w:after="120" w:line="260" w:lineRule="atLeast"/>
      </w:pPr>
      <w:bookmarkStart w:id="26" w:name="_Toc396005398"/>
      <w:bookmarkStart w:id="27" w:name="_Toc5282775"/>
      <w:r>
        <w:t>2.</w:t>
      </w:r>
      <w:r w:rsidR="001508EB">
        <w:t>10</w:t>
      </w:r>
      <w:r w:rsidR="00760E87">
        <w:tab/>
        <w:t>Periodic Safety Update Reports / Periodic Benefit-Risk Evaluation Reports</w:t>
      </w:r>
      <w:bookmarkEnd w:id="26"/>
      <w:bookmarkEnd w:id="27"/>
    </w:p>
    <w:p w:rsidR="00F61002" w:rsidRDefault="00F61002" w:rsidP="00EB61DA">
      <w:pPr>
        <w:widowControl/>
        <w:suppressAutoHyphens/>
        <w:spacing w:before="120" w:line="280" w:lineRule="atLeast"/>
        <w:ind w:left="680"/>
        <w:jc w:val="both"/>
        <w:rPr>
          <w:rFonts w:ascii="Arial" w:hAnsi="Arial"/>
          <w:sz w:val="20"/>
        </w:rPr>
      </w:pPr>
      <w:bookmarkStart w:id="28" w:name="_Toc396005399"/>
      <w:r w:rsidRPr="0025100F">
        <w:rPr>
          <w:rFonts w:ascii="Arial" w:hAnsi="Arial"/>
          <w:sz w:val="20"/>
        </w:rPr>
        <w:t xml:space="preserve">A periodic safety update report (PSUR) or a Periodic Benefit-Risk Evaluation Report (PBRER) is an update of the world-wide safety experience of a medicine at defined times post-registration, as determined from the international birth date.  </w:t>
      </w:r>
    </w:p>
    <w:p w:rsidR="004E1C55" w:rsidRPr="00EB61DA" w:rsidRDefault="004B390E" w:rsidP="00EB61DA">
      <w:pPr>
        <w:widowControl/>
        <w:suppressAutoHyphens/>
        <w:spacing w:before="120" w:line="280" w:lineRule="atLeast"/>
        <w:ind w:left="680"/>
        <w:jc w:val="both"/>
        <w:rPr>
          <w:rFonts w:ascii="Arial" w:hAnsi="Arial"/>
          <w:sz w:val="20"/>
        </w:rPr>
      </w:pPr>
      <w:r w:rsidRPr="00EB61DA">
        <w:rPr>
          <w:rFonts w:ascii="Arial" w:hAnsi="Arial"/>
          <w:sz w:val="20"/>
        </w:rPr>
        <w:t>Each safety update report should cover the period of time since the last update report.  The PSUR or PBRER should be compiled in accordance with the requirements of the current ICH E2C Expert Group on Clinical Safety Data Management:  Periodic Safety Update Reports for Marketed Drugs.</w:t>
      </w:r>
    </w:p>
    <w:p w:rsidR="00760E87" w:rsidRDefault="007E4232" w:rsidP="00AA5E86">
      <w:pPr>
        <w:pStyle w:val="Heading2"/>
        <w:spacing w:after="120"/>
      </w:pPr>
      <w:bookmarkStart w:id="29" w:name="_Toc5282776"/>
      <w:r>
        <w:t>2.1</w:t>
      </w:r>
      <w:r w:rsidR="001508EB">
        <w:t>1</w:t>
      </w:r>
      <w:r w:rsidR="00760E87">
        <w:tab/>
        <w:t>Line Listings</w:t>
      </w:r>
      <w:bookmarkEnd w:id="28"/>
      <w:bookmarkEnd w:id="29"/>
    </w:p>
    <w:p w:rsidR="00F61002" w:rsidRDefault="00F61002" w:rsidP="00F61002">
      <w:pPr>
        <w:widowControl/>
        <w:suppressAutoHyphens/>
        <w:spacing w:before="80" w:line="280" w:lineRule="atLeast"/>
        <w:ind w:left="680"/>
        <w:rPr>
          <w:rFonts w:ascii="Arial" w:hAnsi="Arial" w:cs="Arial"/>
          <w:sz w:val="20"/>
        </w:rPr>
      </w:pPr>
      <w:r w:rsidRPr="0025100F">
        <w:rPr>
          <w:rFonts w:ascii="Arial" w:hAnsi="Arial" w:cs="Arial"/>
          <w:sz w:val="20"/>
        </w:rPr>
        <w:t>A line listing provides key information but not necessarily all the details customarily collected on individual cases.  Reactions are classified by body system for the most serious-presenting sign or symptom</w:t>
      </w:r>
      <w:r>
        <w:rPr>
          <w:rFonts w:ascii="Arial" w:hAnsi="Arial" w:cs="Arial"/>
          <w:sz w:val="20"/>
        </w:rPr>
        <w:t xml:space="preserve"> </w:t>
      </w:r>
      <w:r w:rsidRPr="00EA75C0">
        <w:rPr>
          <w:rFonts w:ascii="Arial" w:hAnsi="Arial" w:cs="Arial"/>
          <w:sz w:val="20"/>
        </w:rPr>
        <w:t xml:space="preserve">according to Standard </w:t>
      </w:r>
      <w:proofErr w:type="spellStart"/>
      <w:r w:rsidRPr="00EA75C0">
        <w:rPr>
          <w:rFonts w:ascii="Arial" w:hAnsi="Arial" w:cs="Arial"/>
          <w:sz w:val="20"/>
        </w:rPr>
        <w:t>MedDRA</w:t>
      </w:r>
      <w:proofErr w:type="spellEnd"/>
      <w:r w:rsidRPr="00EA75C0">
        <w:rPr>
          <w:rFonts w:ascii="Arial" w:hAnsi="Arial" w:cs="Arial"/>
          <w:sz w:val="20"/>
        </w:rPr>
        <w:t xml:space="preserve"> Queries (SMQ).  </w:t>
      </w:r>
      <w:r w:rsidRPr="0025100F">
        <w:rPr>
          <w:rFonts w:ascii="Arial" w:hAnsi="Arial" w:cs="Arial"/>
          <w:sz w:val="20"/>
        </w:rPr>
        <w:t>The headings usually included are:</w:t>
      </w:r>
    </w:p>
    <w:p w:rsidR="00F61002" w:rsidRPr="00F61002" w:rsidRDefault="00F61002" w:rsidP="00F61002"/>
    <w:tbl>
      <w:tblPr>
        <w:tblW w:w="0" w:type="auto"/>
        <w:tblInd w:w="817" w:type="dxa"/>
        <w:tblLook w:val="00A0" w:firstRow="1" w:lastRow="0" w:firstColumn="1" w:lastColumn="0" w:noHBand="0" w:noVBand="0"/>
      </w:tblPr>
      <w:tblGrid>
        <w:gridCol w:w="9048"/>
      </w:tblGrid>
      <w:tr w:rsidR="00760E87" w:rsidRPr="00763168" w:rsidTr="00763168">
        <w:tc>
          <w:tcPr>
            <w:tcW w:w="9264" w:type="dxa"/>
          </w:tcPr>
          <w:p w:rsidR="00760E87" w:rsidRPr="00763168" w:rsidRDefault="0025100F" w:rsidP="003407F8">
            <w:pPr>
              <w:widowControl/>
              <w:numPr>
                <w:ilvl w:val="0"/>
                <w:numId w:val="3"/>
              </w:numPr>
              <w:shd w:val="clear" w:color="auto" w:fill="FFFFFF"/>
              <w:tabs>
                <w:tab w:val="clear" w:pos="720"/>
                <w:tab w:val="left" w:pos="340"/>
              </w:tabs>
              <w:suppressAutoHyphens/>
              <w:spacing w:before="40" w:line="280" w:lineRule="atLeast"/>
              <w:ind w:left="340" w:hanging="340"/>
              <w:jc w:val="both"/>
              <w:rPr>
                <w:rFonts w:ascii="Arial" w:hAnsi="Arial" w:cs="Arial"/>
                <w:sz w:val="20"/>
              </w:rPr>
            </w:pPr>
            <w:r w:rsidRPr="0025100F">
              <w:rPr>
                <w:rFonts w:ascii="Arial" w:hAnsi="Arial"/>
                <w:sz w:val="20"/>
              </w:rPr>
              <w:t>country of occurrence (if relevant);</w:t>
            </w:r>
          </w:p>
          <w:p w:rsidR="00760E87" w:rsidRPr="00763168" w:rsidRDefault="0025100F" w:rsidP="004E1C55">
            <w:pPr>
              <w:widowControl/>
              <w:numPr>
                <w:ilvl w:val="0"/>
                <w:numId w:val="3"/>
              </w:numPr>
              <w:shd w:val="clear" w:color="auto" w:fill="FFFFFF"/>
              <w:tabs>
                <w:tab w:val="clear" w:pos="720"/>
                <w:tab w:val="left" w:pos="340"/>
              </w:tabs>
              <w:suppressAutoHyphens/>
              <w:spacing w:before="40" w:line="280" w:lineRule="atLeast"/>
              <w:ind w:left="340" w:hanging="340"/>
              <w:jc w:val="both"/>
              <w:rPr>
                <w:rFonts w:ascii="Arial" w:hAnsi="Arial" w:cs="Arial"/>
                <w:sz w:val="20"/>
              </w:rPr>
            </w:pPr>
            <w:r w:rsidRPr="0025100F">
              <w:rPr>
                <w:rFonts w:ascii="Arial" w:hAnsi="Arial"/>
                <w:sz w:val="20"/>
              </w:rPr>
              <w:t xml:space="preserve">source (e.g. spontaneous, clinical trial, literature, regulatory authority); </w:t>
            </w:r>
          </w:p>
          <w:p w:rsidR="00760E87" w:rsidRPr="00763168" w:rsidRDefault="0025100F" w:rsidP="003407F8">
            <w:pPr>
              <w:widowControl/>
              <w:numPr>
                <w:ilvl w:val="0"/>
                <w:numId w:val="3"/>
              </w:numPr>
              <w:shd w:val="clear" w:color="auto" w:fill="FFFFFF"/>
              <w:tabs>
                <w:tab w:val="clear" w:pos="720"/>
                <w:tab w:val="left" w:pos="340"/>
              </w:tabs>
              <w:suppressAutoHyphens/>
              <w:spacing w:before="40" w:line="280" w:lineRule="atLeast"/>
              <w:ind w:left="340" w:hanging="340"/>
              <w:jc w:val="both"/>
              <w:rPr>
                <w:rFonts w:ascii="Arial" w:hAnsi="Arial" w:cs="Arial"/>
                <w:sz w:val="20"/>
              </w:rPr>
            </w:pPr>
            <w:r w:rsidRPr="0025100F">
              <w:rPr>
                <w:rFonts w:ascii="Arial" w:hAnsi="Arial" w:cs="Arial"/>
                <w:sz w:val="20"/>
              </w:rPr>
              <w:t>age;</w:t>
            </w:r>
          </w:p>
          <w:p w:rsidR="00760E87" w:rsidRPr="00763168" w:rsidRDefault="0025100F" w:rsidP="003407F8">
            <w:pPr>
              <w:widowControl/>
              <w:numPr>
                <w:ilvl w:val="0"/>
                <w:numId w:val="3"/>
              </w:numPr>
              <w:shd w:val="clear" w:color="auto" w:fill="FFFFFF"/>
              <w:tabs>
                <w:tab w:val="clear" w:pos="720"/>
                <w:tab w:val="left" w:pos="340"/>
              </w:tabs>
              <w:suppressAutoHyphens/>
              <w:spacing w:before="40" w:line="280" w:lineRule="atLeast"/>
              <w:ind w:left="340" w:hanging="340"/>
              <w:jc w:val="both"/>
              <w:rPr>
                <w:rFonts w:ascii="Arial" w:hAnsi="Arial" w:cs="Arial"/>
                <w:sz w:val="20"/>
              </w:rPr>
            </w:pPr>
            <w:r w:rsidRPr="0025100F">
              <w:rPr>
                <w:rFonts w:ascii="Arial" w:hAnsi="Arial" w:cs="Arial"/>
                <w:sz w:val="20"/>
              </w:rPr>
              <w:t>gender;</w:t>
            </w:r>
          </w:p>
          <w:p w:rsidR="00760E87" w:rsidRPr="00763168" w:rsidRDefault="0025100F" w:rsidP="003407F8">
            <w:pPr>
              <w:widowControl/>
              <w:numPr>
                <w:ilvl w:val="0"/>
                <w:numId w:val="3"/>
              </w:numPr>
              <w:shd w:val="clear" w:color="auto" w:fill="FFFFFF"/>
              <w:tabs>
                <w:tab w:val="clear" w:pos="720"/>
                <w:tab w:val="left" w:pos="340"/>
              </w:tabs>
              <w:suppressAutoHyphens/>
              <w:spacing w:before="40" w:line="280" w:lineRule="atLeast"/>
              <w:ind w:left="340" w:hanging="340"/>
              <w:jc w:val="both"/>
              <w:rPr>
                <w:rFonts w:ascii="Arial" w:hAnsi="Arial" w:cs="Arial"/>
                <w:sz w:val="20"/>
              </w:rPr>
            </w:pPr>
            <w:r w:rsidRPr="0025100F">
              <w:rPr>
                <w:rFonts w:ascii="Arial" w:hAnsi="Arial"/>
                <w:sz w:val="20"/>
              </w:rPr>
              <w:t>dose(s) of suspected medicine(s);</w:t>
            </w:r>
          </w:p>
          <w:p w:rsidR="00760E87" w:rsidRPr="00763168" w:rsidRDefault="0025100F" w:rsidP="003407F8">
            <w:pPr>
              <w:widowControl/>
              <w:numPr>
                <w:ilvl w:val="0"/>
                <w:numId w:val="3"/>
              </w:numPr>
              <w:shd w:val="clear" w:color="auto" w:fill="FFFFFF"/>
              <w:tabs>
                <w:tab w:val="clear" w:pos="720"/>
                <w:tab w:val="left" w:pos="340"/>
              </w:tabs>
              <w:suppressAutoHyphens/>
              <w:spacing w:before="40" w:line="280" w:lineRule="atLeast"/>
              <w:ind w:left="340" w:hanging="340"/>
              <w:jc w:val="both"/>
              <w:rPr>
                <w:rFonts w:ascii="Arial" w:hAnsi="Arial" w:cs="Arial"/>
                <w:sz w:val="20"/>
              </w:rPr>
            </w:pPr>
            <w:r w:rsidRPr="0025100F">
              <w:rPr>
                <w:rFonts w:ascii="Arial" w:hAnsi="Arial" w:cs="Arial"/>
                <w:sz w:val="20"/>
              </w:rPr>
              <w:t>dosage form and/or route of administration, batch number when applicable;</w:t>
            </w:r>
          </w:p>
          <w:p w:rsidR="00760E87" w:rsidRPr="00763168" w:rsidRDefault="0025100F" w:rsidP="003407F8">
            <w:pPr>
              <w:widowControl/>
              <w:numPr>
                <w:ilvl w:val="0"/>
                <w:numId w:val="3"/>
              </w:numPr>
              <w:shd w:val="clear" w:color="auto" w:fill="FFFFFF"/>
              <w:tabs>
                <w:tab w:val="clear" w:pos="720"/>
                <w:tab w:val="left" w:pos="340"/>
              </w:tabs>
              <w:suppressAutoHyphens/>
              <w:spacing w:before="40" w:line="280" w:lineRule="atLeast"/>
              <w:ind w:left="340" w:hanging="340"/>
              <w:jc w:val="both"/>
              <w:rPr>
                <w:rFonts w:ascii="Arial" w:hAnsi="Arial" w:cs="Arial"/>
                <w:sz w:val="20"/>
              </w:rPr>
            </w:pPr>
            <w:r w:rsidRPr="0025100F">
              <w:rPr>
                <w:rFonts w:ascii="Arial" w:hAnsi="Arial"/>
                <w:sz w:val="20"/>
              </w:rPr>
              <w:t>duration of treatment (prior to event) time to onset;</w:t>
            </w:r>
          </w:p>
          <w:p w:rsidR="00760E87" w:rsidRPr="00763168" w:rsidRDefault="0025100F" w:rsidP="003407F8">
            <w:pPr>
              <w:widowControl/>
              <w:numPr>
                <w:ilvl w:val="0"/>
                <w:numId w:val="3"/>
              </w:numPr>
              <w:shd w:val="clear" w:color="auto" w:fill="FFFFFF"/>
              <w:tabs>
                <w:tab w:val="clear" w:pos="720"/>
                <w:tab w:val="left" w:pos="340"/>
              </w:tabs>
              <w:suppressAutoHyphens/>
              <w:spacing w:before="40" w:line="280" w:lineRule="atLeast"/>
              <w:ind w:left="340" w:hanging="340"/>
              <w:jc w:val="both"/>
              <w:rPr>
                <w:rFonts w:ascii="Arial" w:hAnsi="Arial" w:cs="Arial"/>
                <w:sz w:val="20"/>
              </w:rPr>
            </w:pPr>
            <w:r w:rsidRPr="0025100F">
              <w:rPr>
                <w:rFonts w:ascii="Arial" w:hAnsi="Arial"/>
                <w:sz w:val="20"/>
              </w:rPr>
              <w:t>description of reaction (as reported);</w:t>
            </w:r>
          </w:p>
          <w:p w:rsidR="00760E87" w:rsidRPr="00763168" w:rsidRDefault="0025100F" w:rsidP="003407F8">
            <w:pPr>
              <w:widowControl/>
              <w:numPr>
                <w:ilvl w:val="0"/>
                <w:numId w:val="3"/>
              </w:numPr>
              <w:shd w:val="clear" w:color="auto" w:fill="FFFFFF"/>
              <w:tabs>
                <w:tab w:val="clear" w:pos="720"/>
                <w:tab w:val="left" w:pos="340"/>
              </w:tabs>
              <w:suppressAutoHyphens/>
              <w:spacing w:before="40" w:line="280" w:lineRule="atLeast"/>
              <w:ind w:left="340" w:hanging="340"/>
              <w:jc w:val="both"/>
              <w:rPr>
                <w:rFonts w:ascii="Arial" w:hAnsi="Arial" w:cs="Arial"/>
                <w:sz w:val="20"/>
              </w:rPr>
            </w:pPr>
            <w:r w:rsidRPr="0025100F">
              <w:rPr>
                <w:rFonts w:ascii="Arial" w:hAnsi="Arial"/>
                <w:sz w:val="20"/>
              </w:rPr>
              <w:t>patient outcome (e.g. fatal, resolved, etc.); and</w:t>
            </w:r>
          </w:p>
          <w:p w:rsidR="00760E87" w:rsidRPr="00763168" w:rsidRDefault="0025100F" w:rsidP="003407F8">
            <w:pPr>
              <w:widowControl/>
              <w:numPr>
                <w:ilvl w:val="0"/>
                <w:numId w:val="3"/>
              </w:numPr>
              <w:shd w:val="clear" w:color="auto" w:fill="FFFFFF"/>
              <w:tabs>
                <w:tab w:val="clear" w:pos="720"/>
                <w:tab w:val="left" w:pos="340"/>
              </w:tabs>
              <w:suppressAutoHyphens/>
              <w:spacing w:before="40" w:after="60" w:line="280" w:lineRule="atLeast"/>
              <w:ind w:left="340" w:hanging="340"/>
              <w:jc w:val="both"/>
              <w:rPr>
                <w:rFonts w:ascii="Arial" w:hAnsi="Arial" w:cs="Arial"/>
                <w:sz w:val="20"/>
              </w:rPr>
            </w:pPr>
            <w:r w:rsidRPr="0025100F">
              <w:rPr>
                <w:rFonts w:ascii="Arial" w:hAnsi="Arial"/>
                <w:sz w:val="20"/>
              </w:rPr>
              <w:t>comment (if relevant)</w:t>
            </w:r>
          </w:p>
        </w:tc>
      </w:tr>
    </w:tbl>
    <w:p w:rsidR="00760E87" w:rsidRDefault="00760E87" w:rsidP="00AA5E86">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64"/>
        </w:tabs>
        <w:spacing w:before="120" w:line="280" w:lineRule="atLeast"/>
        <w:ind w:left="680"/>
        <w:jc w:val="both"/>
        <w:rPr>
          <w:b w:val="0"/>
          <w:i w:val="0"/>
          <w:color w:val="auto"/>
          <w:sz w:val="20"/>
        </w:rPr>
      </w:pPr>
      <w:r w:rsidRPr="00EB61DA">
        <w:rPr>
          <w:b w:val="0"/>
          <w:i w:val="0"/>
          <w:color w:val="auto"/>
          <w:sz w:val="20"/>
        </w:rPr>
        <w:t xml:space="preserve">In some instances, depending on the type or source, ADR reports should be presented as line listings.  A line listing serves to help the </w:t>
      </w:r>
      <w:r w:rsidR="008442D3" w:rsidRPr="00EA75C0">
        <w:rPr>
          <w:b w:val="0"/>
          <w:i w:val="0"/>
          <w:color w:val="auto"/>
          <w:sz w:val="20"/>
        </w:rPr>
        <w:t>Authority</w:t>
      </w:r>
      <w:r w:rsidR="00493E4B">
        <w:rPr>
          <w:b w:val="0"/>
          <w:i w:val="0"/>
          <w:color w:val="auto"/>
          <w:sz w:val="20"/>
        </w:rPr>
        <w:t xml:space="preserve"> </w:t>
      </w:r>
      <w:r w:rsidRPr="00EB61DA">
        <w:rPr>
          <w:b w:val="0"/>
          <w:i w:val="0"/>
          <w:color w:val="auto"/>
          <w:sz w:val="20"/>
        </w:rPr>
        <w:t>to identify cases that it might wish to examine more completely by requesting full case reports.</w:t>
      </w:r>
    </w:p>
    <w:p w:rsidR="001508EB" w:rsidRPr="00EB61DA" w:rsidRDefault="001508EB" w:rsidP="00AA5E86">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64"/>
        </w:tabs>
        <w:spacing w:before="120" w:line="280" w:lineRule="atLeast"/>
        <w:ind w:left="680"/>
        <w:jc w:val="both"/>
        <w:rPr>
          <w:b w:val="0"/>
          <w:i w:val="0"/>
          <w:color w:val="auto"/>
          <w:sz w:val="20"/>
        </w:rPr>
      </w:pPr>
    </w:p>
    <w:p w:rsidR="00760E87" w:rsidRDefault="007E4232" w:rsidP="00AA5E86">
      <w:pPr>
        <w:pStyle w:val="Heading2"/>
        <w:spacing w:after="120"/>
      </w:pPr>
      <w:bookmarkStart w:id="30" w:name="_Toc396005400"/>
      <w:bookmarkStart w:id="31" w:name="_Toc5282777"/>
      <w:r w:rsidRPr="00EB61DA">
        <w:rPr>
          <w:bCs/>
        </w:rPr>
        <w:t>2.1</w:t>
      </w:r>
      <w:r w:rsidR="001508EB">
        <w:rPr>
          <w:bCs/>
        </w:rPr>
        <w:t>2</w:t>
      </w:r>
      <w:r w:rsidR="00760E87" w:rsidRPr="00EB61DA">
        <w:rPr>
          <w:bCs/>
        </w:rPr>
        <w:tab/>
      </w:r>
      <w:bookmarkStart w:id="32" w:name="_Toc233188160"/>
      <w:r w:rsidR="00760E87" w:rsidRPr="00EB61DA">
        <w:t>Risk-Benefit Balance</w:t>
      </w:r>
      <w:bookmarkEnd w:id="30"/>
      <w:bookmarkEnd w:id="32"/>
      <w:r w:rsidR="001508EB">
        <w:t xml:space="preserve"> </w:t>
      </w:r>
      <w:r w:rsidRPr="00EB61DA">
        <w:t>Evaluation</w:t>
      </w:r>
      <w:bookmarkEnd w:id="31"/>
    </w:p>
    <w:p w:rsidR="008F11D0" w:rsidRPr="008F11D0" w:rsidRDefault="008F11D0" w:rsidP="008F11D0">
      <w:pPr>
        <w:ind w:left="680"/>
      </w:pPr>
      <w:r w:rsidRPr="0025100F">
        <w:rPr>
          <w:rFonts w:ascii="Arial" w:hAnsi="Arial" w:cs="Arial"/>
          <w:sz w:val="20"/>
        </w:rPr>
        <w:t>An evaluation of the positive therapeutic effects of the medicine in relation to the risks (any risk relating to the quality, safety or efficacy of the medicine as regards patients’ health or public health).</w:t>
      </w:r>
    </w:p>
    <w:p w:rsidR="00760E87" w:rsidRPr="00EB61DA" w:rsidRDefault="007E4232" w:rsidP="00AA5E86">
      <w:pPr>
        <w:pStyle w:val="Heading2"/>
        <w:spacing w:after="120"/>
      </w:pPr>
      <w:bookmarkStart w:id="33" w:name="_Toc396005401"/>
      <w:bookmarkStart w:id="34" w:name="_Toc5282778"/>
      <w:r w:rsidRPr="00EB61DA">
        <w:t>2.1</w:t>
      </w:r>
      <w:r w:rsidR="001508EB">
        <w:t>3</w:t>
      </w:r>
      <w:r w:rsidR="00760E87" w:rsidRPr="00EB61DA">
        <w:tab/>
        <w:t xml:space="preserve">Healthcare </w:t>
      </w:r>
      <w:bookmarkEnd w:id="33"/>
      <w:r w:rsidR="00B963D4" w:rsidRPr="00EB61DA">
        <w:t xml:space="preserve">Professional / </w:t>
      </w:r>
      <w:r w:rsidR="009D6065" w:rsidRPr="00EB61DA">
        <w:t>Provider</w:t>
      </w:r>
      <w:bookmarkEnd w:id="34"/>
    </w:p>
    <w:p w:rsidR="009E1B1E" w:rsidRDefault="009E1B1E" w:rsidP="00AA5E86">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64"/>
        </w:tabs>
        <w:spacing w:before="120" w:line="280" w:lineRule="atLeast"/>
        <w:ind w:left="680"/>
        <w:jc w:val="both"/>
        <w:rPr>
          <w:b w:val="0"/>
          <w:i w:val="0"/>
          <w:color w:val="auto"/>
          <w:sz w:val="20"/>
        </w:rPr>
      </w:pPr>
      <w:r w:rsidRPr="009E1B1E">
        <w:rPr>
          <w:b w:val="0"/>
          <w:i w:val="0"/>
          <w:color w:val="auto"/>
          <w:sz w:val="20"/>
        </w:rPr>
        <w:t>For the purposes of reporting suspected adverse reactions, “healthcare professionals/ providers” are medical practitioners, pathologists, dentists, pharmacists, nurses, and other healthcare professionals including allied healthcare professionals and practitioners</w:t>
      </w:r>
    </w:p>
    <w:p w:rsidR="00760E87" w:rsidRPr="00EB61DA" w:rsidRDefault="00760E87" w:rsidP="00AA5E86">
      <w:pPr>
        <w:pStyle w:val="BodyTex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64"/>
        </w:tabs>
        <w:spacing w:before="120" w:line="280" w:lineRule="atLeast"/>
        <w:ind w:left="680"/>
        <w:jc w:val="both"/>
        <w:rPr>
          <w:b w:val="0"/>
          <w:i w:val="0"/>
          <w:color w:val="auto"/>
          <w:sz w:val="20"/>
        </w:rPr>
      </w:pPr>
      <w:r w:rsidRPr="00EB61DA">
        <w:rPr>
          <w:b w:val="0"/>
          <w:i w:val="0"/>
          <w:color w:val="auto"/>
          <w:sz w:val="20"/>
        </w:rPr>
        <w:lastRenderedPageBreak/>
        <w:t>When reports originate from pharmacists or nurses, further information about the case should, where possible, be sought from a medical practitioner responsible for the patient.  Furthermore, if there is more than one reporter, the healthcare professional directly involved with the patient’s care and who provides the most complete and clinically relevant information, will be considered the primary reporter.</w:t>
      </w:r>
    </w:p>
    <w:p w:rsidR="00760E87" w:rsidRDefault="007E4232" w:rsidP="00AA5E86">
      <w:pPr>
        <w:pStyle w:val="Heading2"/>
        <w:spacing w:after="120"/>
      </w:pPr>
      <w:bookmarkStart w:id="35" w:name="_Toc396005402"/>
      <w:bookmarkStart w:id="36" w:name="_Toc5282779"/>
      <w:r w:rsidRPr="00EB61DA">
        <w:t>2.1</w:t>
      </w:r>
      <w:r w:rsidR="001508EB">
        <w:t>4</w:t>
      </w:r>
      <w:r w:rsidR="00760E87" w:rsidRPr="00EB61DA">
        <w:tab/>
        <w:t>Abuse</w:t>
      </w:r>
      <w:bookmarkEnd w:id="35"/>
      <w:r w:rsidR="001508EB">
        <w:t xml:space="preserve"> </w:t>
      </w:r>
      <w:r w:rsidRPr="00EB61DA">
        <w:t xml:space="preserve">of </w:t>
      </w:r>
      <w:r w:rsidR="00F463B6" w:rsidRPr="00EB61DA">
        <w:t>Medicine</w:t>
      </w:r>
      <w:bookmarkEnd w:id="36"/>
    </w:p>
    <w:p w:rsidR="00F61002" w:rsidRPr="00F61002" w:rsidRDefault="00F61002" w:rsidP="00F61002">
      <w:pPr>
        <w:ind w:left="680"/>
      </w:pPr>
      <w:r w:rsidRPr="0025100F">
        <w:rPr>
          <w:rFonts w:ascii="Arial" w:hAnsi="Arial"/>
          <w:sz w:val="20"/>
        </w:rPr>
        <w:t xml:space="preserve">“Abuse of </w:t>
      </w:r>
      <w:r w:rsidRPr="0025100F">
        <w:rPr>
          <w:rFonts w:ascii="Arial" w:hAnsi="Arial" w:cs="Arial"/>
          <w:sz w:val="20"/>
        </w:rPr>
        <w:t xml:space="preserve">Medicine” </w:t>
      </w:r>
      <w:r w:rsidRPr="0025100F">
        <w:rPr>
          <w:rFonts w:ascii="Arial" w:hAnsi="Arial"/>
          <w:sz w:val="20"/>
        </w:rPr>
        <w:t>refers to the persistent or sporadic, intentional excessive use of medicines which is accompanied by harmful physical or psychological effects.</w:t>
      </w:r>
    </w:p>
    <w:p w:rsidR="00760E87" w:rsidRDefault="007E4232" w:rsidP="00910F32">
      <w:pPr>
        <w:pStyle w:val="Heading2"/>
        <w:spacing w:after="120"/>
      </w:pPr>
      <w:bookmarkStart w:id="37" w:name="_Toc5282780"/>
      <w:r w:rsidRPr="00EB61DA">
        <w:t>2.1</w:t>
      </w:r>
      <w:r w:rsidR="001508EB">
        <w:t>5</w:t>
      </w:r>
      <w:r w:rsidRPr="00EB61DA">
        <w:tab/>
        <w:t>Consumer</w:t>
      </w:r>
      <w:bookmarkEnd w:id="37"/>
    </w:p>
    <w:p w:rsidR="00F61002" w:rsidRPr="00F61002" w:rsidRDefault="00F61002" w:rsidP="00F61002">
      <w:pPr>
        <w:ind w:left="680"/>
      </w:pPr>
      <w:r w:rsidRPr="0025100F">
        <w:rPr>
          <w:rFonts w:ascii="Arial" w:hAnsi="Arial"/>
          <w:sz w:val="20"/>
        </w:rPr>
        <w:t>A consumer is defined as a person who is not a healthcare professional / provider, such as a patient, lawyer, friend, relative or carer of a patient</w:t>
      </w:r>
    </w:p>
    <w:p w:rsidR="006B4DF2" w:rsidRPr="006B4DF2" w:rsidRDefault="005D1F97" w:rsidP="00436A8D">
      <w:pPr>
        <w:pStyle w:val="Heading1"/>
      </w:pPr>
      <w:bookmarkStart w:id="38" w:name="_Toc396005403"/>
      <w:bookmarkStart w:id="39" w:name="_Toc5282781"/>
      <w:r>
        <w:t>3</w:t>
      </w:r>
      <w:r w:rsidR="00760E87" w:rsidRPr="00EB61DA">
        <w:tab/>
      </w:r>
      <w:bookmarkStart w:id="40" w:name="Pharmacovigilance"/>
      <w:bookmarkEnd w:id="40"/>
      <w:r w:rsidR="00760E87" w:rsidRPr="00EB61DA">
        <w:t xml:space="preserve">PHARMACOVIGILANCE OBLIGATIONS OF THE </w:t>
      </w:r>
      <w:bookmarkEnd w:id="38"/>
      <w:r w:rsidR="00BE5D1A" w:rsidRPr="00EB61DA">
        <w:t xml:space="preserve">HOLDER OF A CERTIFICATE OF REGISTRATION/ </w:t>
      </w:r>
      <w:r w:rsidR="00216122" w:rsidRPr="00EB61DA">
        <w:t>APPLICANT</w:t>
      </w:r>
      <w:bookmarkEnd w:id="39"/>
    </w:p>
    <w:p w:rsidR="00600E59" w:rsidRPr="00EB61DA" w:rsidRDefault="00760E87" w:rsidP="00600E59">
      <w:pPr>
        <w:pStyle w:val="Heading2"/>
        <w:rPr>
          <w:strike/>
        </w:rPr>
      </w:pPr>
      <w:bookmarkStart w:id="41" w:name="_Toc229451050"/>
      <w:bookmarkStart w:id="42" w:name="_Toc233188135"/>
      <w:bookmarkStart w:id="43" w:name="_Toc396005404"/>
      <w:bookmarkStart w:id="44" w:name="_Toc5282782"/>
      <w:r w:rsidRPr="00EB61DA">
        <w:t>3.1</w:t>
      </w:r>
      <w:r w:rsidRPr="00EB61DA">
        <w:tab/>
        <w:t xml:space="preserve">The Role and Responsibilities of the </w:t>
      </w:r>
      <w:bookmarkEnd w:id="41"/>
      <w:bookmarkEnd w:id="42"/>
      <w:bookmarkEnd w:id="43"/>
      <w:r w:rsidR="00910F32" w:rsidRPr="00EB61DA">
        <w:t>Holder of a Certificate of R</w:t>
      </w:r>
      <w:r w:rsidR="00600E59" w:rsidRPr="00EB61DA">
        <w:t>egistration</w:t>
      </w:r>
      <w:r w:rsidR="00E27B89" w:rsidRPr="00EB61DA">
        <w:t>/ Applicant</w:t>
      </w:r>
      <w:bookmarkEnd w:id="44"/>
    </w:p>
    <w:p w:rsidR="00760E87" w:rsidRPr="00EB61DA" w:rsidRDefault="00760E87" w:rsidP="007831A0">
      <w:pPr>
        <w:widowControl/>
        <w:tabs>
          <w:tab w:val="left" w:pos="1247"/>
        </w:tabs>
        <w:suppressAutoHyphens/>
        <w:spacing w:before="80" w:line="260" w:lineRule="atLeast"/>
        <w:ind w:left="1247" w:hanging="567"/>
        <w:jc w:val="both"/>
        <w:rPr>
          <w:rFonts w:ascii="Arial" w:hAnsi="Arial" w:cs="Arial"/>
          <w:sz w:val="20"/>
        </w:rPr>
      </w:pPr>
      <w:r w:rsidRPr="00EB61DA">
        <w:rPr>
          <w:rFonts w:ascii="Arial" w:hAnsi="Arial" w:cs="Arial"/>
          <w:sz w:val="20"/>
        </w:rPr>
        <w:t>(</w:t>
      </w:r>
      <w:proofErr w:type="spellStart"/>
      <w:r w:rsidRPr="00EB61DA">
        <w:rPr>
          <w:rFonts w:ascii="Arial" w:hAnsi="Arial" w:cs="Arial"/>
          <w:sz w:val="20"/>
        </w:rPr>
        <w:t>i</w:t>
      </w:r>
      <w:proofErr w:type="spellEnd"/>
      <w:r w:rsidRPr="00EB61DA">
        <w:rPr>
          <w:rFonts w:ascii="Arial" w:hAnsi="Arial" w:cs="Arial"/>
          <w:sz w:val="20"/>
        </w:rPr>
        <w:t>)</w:t>
      </w:r>
      <w:r w:rsidRPr="00EB61DA">
        <w:rPr>
          <w:rFonts w:ascii="Arial" w:hAnsi="Arial" w:cs="Arial"/>
          <w:sz w:val="20"/>
        </w:rPr>
        <w:tab/>
        <w:t xml:space="preserve">The </w:t>
      </w:r>
      <w:r w:rsidR="002C5C91" w:rsidRPr="00EB61DA">
        <w:rPr>
          <w:rFonts w:ascii="Arial" w:hAnsi="Arial" w:cs="Arial"/>
          <w:sz w:val="20"/>
        </w:rPr>
        <w:t>holder or</w:t>
      </w:r>
      <w:r w:rsidR="001508EB">
        <w:rPr>
          <w:rFonts w:ascii="Arial" w:hAnsi="Arial" w:cs="Arial"/>
          <w:sz w:val="20"/>
        </w:rPr>
        <w:t xml:space="preserve"> </w:t>
      </w:r>
      <w:r w:rsidR="004E1C55" w:rsidRPr="00EB61DA">
        <w:rPr>
          <w:rFonts w:ascii="Arial" w:hAnsi="Arial" w:cs="Arial"/>
          <w:sz w:val="20"/>
        </w:rPr>
        <w:t>applicant</w:t>
      </w:r>
      <w:r w:rsidR="001508EB">
        <w:rPr>
          <w:rFonts w:ascii="Arial" w:hAnsi="Arial" w:cs="Arial"/>
          <w:sz w:val="20"/>
        </w:rPr>
        <w:t xml:space="preserve"> </w:t>
      </w:r>
      <w:r w:rsidRPr="00EB61DA">
        <w:rPr>
          <w:rFonts w:ascii="Arial" w:hAnsi="Arial" w:cs="Arial"/>
          <w:sz w:val="20"/>
        </w:rPr>
        <w:t xml:space="preserve">should ensure that it has in place an appropriate system for pharmacovigilance that will provide for the proper management of safety data for its medicines and to ensure that appropriate action can be taken when necessary.  It is </w:t>
      </w:r>
      <w:r w:rsidR="00824063">
        <w:rPr>
          <w:rFonts w:ascii="Arial" w:hAnsi="Arial" w:cs="Arial"/>
          <w:sz w:val="20"/>
        </w:rPr>
        <w:t xml:space="preserve">a requirement </w:t>
      </w:r>
      <w:r w:rsidRPr="00EB61DA">
        <w:rPr>
          <w:rFonts w:ascii="Arial" w:hAnsi="Arial" w:cs="Arial"/>
          <w:sz w:val="20"/>
        </w:rPr>
        <w:t xml:space="preserve">that the </w:t>
      </w:r>
      <w:r w:rsidR="004E1C55" w:rsidRPr="00EB61DA">
        <w:rPr>
          <w:rFonts w:ascii="Arial" w:hAnsi="Arial" w:cs="Arial"/>
          <w:sz w:val="20"/>
        </w:rPr>
        <w:t>applicant</w:t>
      </w:r>
      <w:r w:rsidRPr="00EB61DA">
        <w:rPr>
          <w:rFonts w:ascii="Arial" w:hAnsi="Arial" w:cs="Arial"/>
          <w:sz w:val="20"/>
        </w:rPr>
        <w:t xml:space="preserve"> has available, in South Africa, a full-time qualified person responsible for pharmacovigilance</w:t>
      </w:r>
      <w:r w:rsidR="00BE5D1A" w:rsidRPr="00EB61DA">
        <w:rPr>
          <w:rFonts w:ascii="Arial" w:hAnsi="Arial" w:cs="Arial"/>
          <w:sz w:val="20"/>
        </w:rPr>
        <w:t xml:space="preserve"> and</w:t>
      </w:r>
      <w:r w:rsidR="001508EB">
        <w:rPr>
          <w:rFonts w:ascii="Arial" w:hAnsi="Arial" w:cs="Arial"/>
          <w:sz w:val="20"/>
        </w:rPr>
        <w:t xml:space="preserve"> </w:t>
      </w:r>
      <w:r w:rsidRPr="00EB61DA">
        <w:rPr>
          <w:rFonts w:ascii="Arial" w:hAnsi="Arial" w:cs="Arial"/>
          <w:sz w:val="20"/>
        </w:rPr>
        <w:t>post-marketing surveillance</w:t>
      </w:r>
      <w:r w:rsidR="00511285" w:rsidRPr="00EB61DA">
        <w:rPr>
          <w:rFonts w:ascii="Arial" w:hAnsi="Arial" w:cs="Arial"/>
          <w:sz w:val="20"/>
        </w:rPr>
        <w:t xml:space="preserve"> i.e. </w:t>
      </w:r>
      <w:r w:rsidR="004C0907" w:rsidRPr="00EB61DA">
        <w:rPr>
          <w:rFonts w:ascii="Arial" w:hAnsi="Arial" w:cs="Arial"/>
          <w:sz w:val="20"/>
        </w:rPr>
        <w:t>pharmacovigilance officer</w:t>
      </w:r>
      <w:r w:rsidRPr="00EB61DA">
        <w:rPr>
          <w:rFonts w:ascii="Arial" w:hAnsi="Arial" w:cs="Arial"/>
          <w:sz w:val="20"/>
        </w:rPr>
        <w:t>.  This person</w:t>
      </w:r>
      <w:r w:rsidR="001508EB">
        <w:rPr>
          <w:rFonts w:ascii="Arial" w:hAnsi="Arial" w:cs="Arial"/>
          <w:sz w:val="20"/>
        </w:rPr>
        <w:t xml:space="preserve"> </w:t>
      </w:r>
      <w:r w:rsidRPr="00EB61DA">
        <w:rPr>
          <w:rFonts w:ascii="Arial" w:hAnsi="Arial" w:cs="Arial"/>
          <w:sz w:val="20"/>
        </w:rPr>
        <w:t>should have experience and training in all aspects of pharmacovigilance and, if not a healthcare</w:t>
      </w:r>
      <w:r w:rsidR="001508EB">
        <w:rPr>
          <w:rFonts w:ascii="Arial" w:hAnsi="Arial" w:cs="Arial"/>
          <w:sz w:val="20"/>
        </w:rPr>
        <w:t xml:space="preserve"> </w:t>
      </w:r>
      <w:r w:rsidR="004C0907" w:rsidRPr="00EB61DA">
        <w:rPr>
          <w:rFonts w:ascii="Arial" w:hAnsi="Arial" w:cs="Arial"/>
          <w:sz w:val="20"/>
        </w:rPr>
        <w:t xml:space="preserve">professional/ </w:t>
      </w:r>
      <w:r w:rsidR="00BE5D1A" w:rsidRPr="00EB61DA">
        <w:rPr>
          <w:rFonts w:ascii="Arial" w:hAnsi="Arial" w:cs="Arial"/>
          <w:sz w:val="20"/>
        </w:rPr>
        <w:t>provider</w:t>
      </w:r>
      <w:r w:rsidRPr="00EB61DA">
        <w:rPr>
          <w:rFonts w:ascii="Arial" w:hAnsi="Arial" w:cs="Arial"/>
          <w:sz w:val="20"/>
        </w:rPr>
        <w:t>, should have access to a medically qualified person.</w:t>
      </w:r>
    </w:p>
    <w:p w:rsidR="00760E87" w:rsidRPr="00EB61DA" w:rsidRDefault="00760E87" w:rsidP="00EB61DA">
      <w:pPr>
        <w:widowControl/>
        <w:tabs>
          <w:tab w:val="left" w:pos="1247"/>
        </w:tabs>
        <w:suppressAutoHyphens/>
        <w:spacing w:before="80" w:line="260" w:lineRule="atLeast"/>
        <w:ind w:left="1247" w:hanging="567"/>
        <w:jc w:val="both"/>
        <w:rPr>
          <w:rFonts w:ascii="Arial" w:hAnsi="Arial" w:cs="Arial"/>
          <w:sz w:val="20"/>
        </w:rPr>
      </w:pPr>
      <w:r w:rsidRPr="00EB61DA">
        <w:rPr>
          <w:rFonts w:ascii="Arial" w:hAnsi="Arial" w:cs="Arial"/>
          <w:sz w:val="20"/>
        </w:rPr>
        <w:t>(ii)</w:t>
      </w:r>
      <w:r w:rsidRPr="00EB61DA">
        <w:rPr>
          <w:rFonts w:ascii="Arial" w:hAnsi="Arial" w:cs="Arial"/>
          <w:sz w:val="20"/>
        </w:rPr>
        <w:tab/>
        <w:t>The Responsible Pharmacist must nominate a specific individual</w:t>
      </w:r>
      <w:r w:rsidR="004C0907" w:rsidRPr="00EB61DA">
        <w:rPr>
          <w:rFonts w:ascii="Arial" w:hAnsi="Arial" w:cs="Arial"/>
          <w:sz w:val="20"/>
        </w:rPr>
        <w:t xml:space="preserve">, </w:t>
      </w:r>
      <w:r w:rsidR="005F7F60" w:rsidRPr="00EB61DA">
        <w:rPr>
          <w:rFonts w:ascii="Arial" w:hAnsi="Arial" w:cs="Arial"/>
          <w:sz w:val="20"/>
        </w:rPr>
        <w:t xml:space="preserve">i.e. </w:t>
      </w:r>
      <w:r w:rsidR="004C0907" w:rsidRPr="00EB61DA">
        <w:rPr>
          <w:rFonts w:ascii="Arial" w:hAnsi="Arial" w:cs="Arial"/>
          <w:sz w:val="20"/>
        </w:rPr>
        <w:t xml:space="preserve">pharmacovigilance officer </w:t>
      </w:r>
      <w:r w:rsidRPr="00EB61DA">
        <w:rPr>
          <w:rFonts w:ascii="Arial" w:hAnsi="Arial" w:cs="Arial"/>
          <w:sz w:val="20"/>
        </w:rPr>
        <w:t xml:space="preserve">responsible for pharmacovigilance activities.  </w:t>
      </w:r>
      <w:r w:rsidR="008442D3" w:rsidRPr="00836111">
        <w:rPr>
          <w:rFonts w:ascii="Arial" w:hAnsi="Arial" w:cs="Arial"/>
          <w:sz w:val="20"/>
        </w:rPr>
        <w:t xml:space="preserve">The </w:t>
      </w:r>
      <w:r w:rsidR="008442D3" w:rsidRPr="00EA75C0">
        <w:rPr>
          <w:rFonts w:ascii="Arial" w:hAnsi="Arial" w:cs="Arial"/>
          <w:sz w:val="20"/>
        </w:rPr>
        <w:t>Authority</w:t>
      </w:r>
      <w:r w:rsidR="00836111">
        <w:rPr>
          <w:rFonts w:ascii="Arial" w:hAnsi="Arial" w:cs="Arial"/>
          <w:sz w:val="20"/>
        </w:rPr>
        <w:t xml:space="preserve"> </w:t>
      </w:r>
      <w:r w:rsidRPr="00EB61DA">
        <w:rPr>
          <w:rFonts w:ascii="Arial" w:hAnsi="Arial" w:cs="Arial"/>
          <w:sz w:val="20"/>
        </w:rPr>
        <w:t xml:space="preserve">must be informed in writing </w:t>
      </w:r>
      <w:r w:rsidR="001508EB" w:rsidRPr="00EA75C0">
        <w:rPr>
          <w:rFonts w:ascii="Arial" w:hAnsi="Arial" w:cs="Arial"/>
          <w:sz w:val="20"/>
        </w:rPr>
        <w:t>the</w:t>
      </w:r>
      <w:r w:rsidR="001508EB" w:rsidRPr="00AB6897">
        <w:rPr>
          <w:rFonts w:ascii="Arial" w:hAnsi="Arial" w:cs="Arial"/>
          <w:color w:val="1F497D" w:themeColor="text2"/>
          <w:sz w:val="20"/>
        </w:rPr>
        <w:t xml:space="preserve"> </w:t>
      </w:r>
      <w:r w:rsidR="001508EB" w:rsidRPr="00EA75C0">
        <w:rPr>
          <w:rFonts w:ascii="Arial" w:hAnsi="Arial" w:cs="Arial"/>
          <w:sz w:val="20"/>
        </w:rPr>
        <w:t>name</w:t>
      </w:r>
      <w:r w:rsidR="001508EB" w:rsidRPr="00AB6897">
        <w:rPr>
          <w:rFonts w:ascii="Arial" w:hAnsi="Arial" w:cs="Arial"/>
          <w:color w:val="1F497D" w:themeColor="text2"/>
          <w:sz w:val="20"/>
        </w:rPr>
        <w:t xml:space="preserve"> </w:t>
      </w:r>
      <w:r w:rsidR="001508EB">
        <w:rPr>
          <w:rFonts w:ascii="Arial" w:hAnsi="Arial" w:cs="Arial"/>
          <w:sz w:val="20"/>
        </w:rPr>
        <w:t xml:space="preserve">of </w:t>
      </w:r>
      <w:r w:rsidRPr="00EB61DA">
        <w:rPr>
          <w:rFonts w:ascii="Arial" w:hAnsi="Arial" w:cs="Arial"/>
          <w:sz w:val="20"/>
        </w:rPr>
        <w:t xml:space="preserve">the person </w:t>
      </w:r>
      <w:r w:rsidR="00837221" w:rsidRPr="00EB61DA">
        <w:rPr>
          <w:rFonts w:ascii="Arial" w:hAnsi="Arial" w:cs="Arial"/>
          <w:sz w:val="20"/>
        </w:rPr>
        <w:t>who</w:t>
      </w:r>
      <w:r w:rsidR="001508EB">
        <w:rPr>
          <w:rFonts w:ascii="Arial" w:hAnsi="Arial" w:cs="Arial"/>
          <w:sz w:val="20"/>
        </w:rPr>
        <w:t xml:space="preserve"> </w:t>
      </w:r>
      <w:r w:rsidRPr="00EB61DA">
        <w:rPr>
          <w:rFonts w:ascii="Arial" w:hAnsi="Arial" w:cs="Arial"/>
          <w:sz w:val="20"/>
        </w:rPr>
        <w:t>will assume responsibility for all matters pertaining to pharmacovigilance, including the person</w:t>
      </w:r>
      <w:r w:rsidR="00837221" w:rsidRPr="00EB61DA">
        <w:rPr>
          <w:rFonts w:ascii="Arial" w:hAnsi="Arial" w:cs="Arial"/>
          <w:sz w:val="20"/>
        </w:rPr>
        <w:t>’s</w:t>
      </w:r>
      <w:r w:rsidRPr="00EB61DA">
        <w:rPr>
          <w:rFonts w:ascii="Arial" w:hAnsi="Arial" w:cs="Arial"/>
          <w:sz w:val="20"/>
        </w:rPr>
        <w:t xml:space="preserve"> contact details (postal and e-mail addresses and telephone and fax numbers).</w:t>
      </w:r>
    </w:p>
    <w:p w:rsidR="00760E87" w:rsidRPr="00EB61DA" w:rsidRDefault="00760E87" w:rsidP="00EB61DA">
      <w:pPr>
        <w:widowControl/>
        <w:tabs>
          <w:tab w:val="left" w:pos="1247"/>
        </w:tabs>
        <w:suppressAutoHyphens/>
        <w:spacing w:before="80" w:line="260" w:lineRule="atLeast"/>
        <w:ind w:left="1247" w:hanging="567"/>
        <w:jc w:val="both"/>
        <w:rPr>
          <w:rFonts w:ascii="Arial" w:hAnsi="Arial" w:cs="Arial"/>
          <w:sz w:val="20"/>
        </w:rPr>
      </w:pPr>
      <w:r w:rsidRPr="00EB61DA">
        <w:rPr>
          <w:rFonts w:ascii="Arial" w:hAnsi="Arial" w:cs="Arial"/>
          <w:sz w:val="20"/>
        </w:rPr>
        <w:t>(iii)</w:t>
      </w:r>
      <w:r w:rsidRPr="00EB61DA">
        <w:rPr>
          <w:rFonts w:ascii="Arial" w:hAnsi="Arial" w:cs="Arial"/>
          <w:sz w:val="20"/>
        </w:rPr>
        <w:tab/>
        <w:t>The</w:t>
      </w:r>
      <w:r w:rsidR="001508EB">
        <w:rPr>
          <w:rFonts w:ascii="Arial" w:hAnsi="Arial" w:cs="Arial"/>
          <w:sz w:val="20"/>
        </w:rPr>
        <w:t xml:space="preserve"> </w:t>
      </w:r>
      <w:r w:rsidR="002C5C91" w:rsidRPr="00EB61DA">
        <w:rPr>
          <w:rFonts w:ascii="Arial" w:hAnsi="Arial" w:cs="Arial"/>
          <w:sz w:val="20"/>
        </w:rPr>
        <w:t>holder or</w:t>
      </w:r>
      <w:r w:rsidR="001508EB">
        <w:rPr>
          <w:rFonts w:ascii="Arial" w:hAnsi="Arial" w:cs="Arial"/>
          <w:sz w:val="20"/>
        </w:rPr>
        <w:t xml:space="preserve"> </w:t>
      </w:r>
      <w:r w:rsidR="004E1C55" w:rsidRPr="00EB61DA">
        <w:rPr>
          <w:rFonts w:ascii="Arial" w:hAnsi="Arial" w:cs="Arial"/>
          <w:sz w:val="20"/>
        </w:rPr>
        <w:t>applicant</w:t>
      </w:r>
      <w:r w:rsidR="001508EB">
        <w:rPr>
          <w:rFonts w:ascii="Arial" w:hAnsi="Arial" w:cs="Arial"/>
          <w:sz w:val="20"/>
        </w:rPr>
        <w:t xml:space="preserve"> </w:t>
      </w:r>
      <w:r w:rsidRPr="00EB61DA">
        <w:rPr>
          <w:rFonts w:ascii="Arial" w:hAnsi="Arial" w:cs="Arial"/>
          <w:sz w:val="20"/>
        </w:rPr>
        <w:t xml:space="preserve">should ensure that there is full documentation covering all procedures and activities of the </w:t>
      </w:r>
      <w:r w:rsidR="002C5C91" w:rsidRPr="00EB61DA">
        <w:rPr>
          <w:rFonts w:ascii="Arial" w:hAnsi="Arial" w:cs="Arial"/>
          <w:sz w:val="20"/>
        </w:rPr>
        <w:t>p</w:t>
      </w:r>
      <w:r w:rsidRPr="00EB61DA">
        <w:rPr>
          <w:rFonts w:ascii="Arial" w:hAnsi="Arial" w:cs="Arial"/>
          <w:sz w:val="20"/>
        </w:rPr>
        <w:t xml:space="preserve">harmacovigilance </w:t>
      </w:r>
      <w:r w:rsidR="002C5C91" w:rsidRPr="00EB61DA">
        <w:rPr>
          <w:rFonts w:ascii="Arial" w:hAnsi="Arial" w:cs="Arial"/>
          <w:sz w:val="20"/>
        </w:rPr>
        <w:t>o</w:t>
      </w:r>
      <w:r w:rsidRPr="00EB61DA">
        <w:rPr>
          <w:rFonts w:ascii="Arial" w:hAnsi="Arial" w:cs="Arial"/>
          <w:sz w:val="20"/>
        </w:rPr>
        <w:t xml:space="preserve">fficer and that mechanisms are in place to ensure that the </w:t>
      </w:r>
      <w:r w:rsidR="002C5C91" w:rsidRPr="00EB61DA">
        <w:rPr>
          <w:rFonts w:ascii="Arial" w:hAnsi="Arial" w:cs="Arial"/>
          <w:sz w:val="20"/>
        </w:rPr>
        <w:t>p</w:t>
      </w:r>
      <w:r w:rsidRPr="00EB61DA">
        <w:rPr>
          <w:rFonts w:ascii="Arial" w:hAnsi="Arial" w:cs="Arial"/>
          <w:sz w:val="20"/>
        </w:rPr>
        <w:t xml:space="preserve">harmacovigilance </w:t>
      </w:r>
      <w:r w:rsidR="002C5C91" w:rsidRPr="00EB61DA">
        <w:rPr>
          <w:rFonts w:ascii="Arial" w:hAnsi="Arial" w:cs="Arial"/>
          <w:sz w:val="20"/>
        </w:rPr>
        <w:t>o</w:t>
      </w:r>
      <w:r w:rsidRPr="00EB61DA">
        <w:rPr>
          <w:rFonts w:ascii="Arial" w:hAnsi="Arial" w:cs="Arial"/>
          <w:sz w:val="20"/>
        </w:rPr>
        <w:t>fficer may receive or seek all relevant information.</w:t>
      </w:r>
    </w:p>
    <w:p w:rsidR="00760E87" w:rsidRPr="00EB61DA" w:rsidRDefault="00760E87" w:rsidP="00506F54">
      <w:pPr>
        <w:pStyle w:val="Heading2"/>
        <w:ind w:left="680" w:hanging="680"/>
        <w:jc w:val="both"/>
      </w:pPr>
      <w:bookmarkStart w:id="45" w:name="_Toc229451051"/>
      <w:bookmarkStart w:id="46" w:name="_Toc233188136"/>
      <w:bookmarkStart w:id="47" w:name="_Toc396005405"/>
      <w:bookmarkStart w:id="48" w:name="_Toc5282783"/>
      <w:r w:rsidRPr="00EB61DA">
        <w:t>3.2</w:t>
      </w:r>
      <w:r w:rsidRPr="00EB61DA">
        <w:tab/>
        <w:t xml:space="preserve">The Role </w:t>
      </w:r>
      <w:r w:rsidR="003C6D08" w:rsidRPr="00EB61DA">
        <w:t>and Responsibilities o</w:t>
      </w:r>
      <w:r w:rsidRPr="00EB61DA">
        <w:t xml:space="preserve">f </w:t>
      </w:r>
      <w:r w:rsidR="003C6D08" w:rsidRPr="00EB61DA">
        <w:t>t</w:t>
      </w:r>
      <w:r w:rsidRPr="00EB61DA">
        <w:t>he</w:t>
      </w:r>
      <w:r w:rsidR="001508EB">
        <w:t xml:space="preserve"> </w:t>
      </w:r>
      <w:r w:rsidR="00910F32" w:rsidRPr="00EB61DA">
        <w:rPr>
          <w:rFonts w:cs="Arial"/>
        </w:rPr>
        <w:t>Holder of a Certificate of R</w:t>
      </w:r>
      <w:r w:rsidR="00600E59" w:rsidRPr="00EB61DA">
        <w:rPr>
          <w:rFonts w:cs="Arial"/>
        </w:rPr>
        <w:t>egistration</w:t>
      </w:r>
      <w:r w:rsidR="00F2450A" w:rsidRPr="00EB61DA">
        <w:rPr>
          <w:rFonts w:cs="Arial"/>
        </w:rPr>
        <w:t>’s</w:t>
      </w:r>
      <w:r w:rsidR="00E27B89" w:rsidRPr="00EB61DA">
        <w:rPr>
          <w:rFonts w:cs="Arial"/>
        </w:rPr>
        <w:t>/ Applicant</w:t>
      </w:r>
      <w:r w:rsidR="008B2377" w:rsidRPr="00EB61DA">
        <w:rPr>
          <w:rFonts w:cs="Arial"/>
        </w:rPr>
        <w:t>’s</w:t>
      </w:r>
      <w:r w:rsidR="001508EB">
        <w:rPr>
          <w:rFonts w:cs="Arial"/>
        </w:rPr>
        <w:t xml:space="preserve"> </w:t>
      </w:r>
      <w:r w:rsidRPr="00EB61DA">
        <w:t>Pharmacovigilance Officer</w:t>
      </w:r>
      <w:bookmarkEnd w:id="45"/>
      <w:bookmarkEnd w:id="46"/>
      <w:bookmarkEnd w:id="47"/>
      <w:bookmarkEnd w:id="48"/>
    </w:p>
    <w:p w:rsidR="00760E87" w:rsidRPr="00EB61DA" w:rsidRDefault="00760E87" w:rsidP="00EB61DA">
      <w:pPr>
        <w:widowControl/>
        <w:suppressAutoHyphens/>
        <w:spacing w:before="120" w:line="260" w:lineRule="atLeast"/>
        <w:ind w:left="680"/>
        <w:jc w:val="both"/>
        <w:rPr>
          <w:rFonts w:ascii="Arial" w:hAnsi="Arial" w:cs="Arial"/>
          <w:sz w:val="20"/>
        </w:rPr>
      </w:pPr>
      <w:r w:rsidRPr="00EB61DA">
        <w:rPr>
          <w:rFonts w:ascii="Arial" w:hAnsi="Arial" w:cs="Arial"/>
          <w:sz w:val="20"/>
        </w:rPr>
        <w:t xml:space="preserve">Responsibilities of the </w:t>
      </w:r>
      <w:r w:rsidR="002C5C91" w:rsidRPr="00EB61DA">
        <w:rPr>
          <w:rFonts w:ascii="Arial" w:hAnsi="Arial" w:cs="Arial"/>
          <w:sz w:val="20"/>
        </w:rPr>
        <w:t xml:space="preserve">holder’s or </w:t>
      </w:r>
      <w:r w:rsidR="004E1C55" w:rsidRPr="00EB61DA">
        <w:rPr>
          <w:rFonts w:ascii="Arial" w:hAnsi="Arial" w:cs="Arial"/>
          <w:sz w:val="20"/>
        </w:rPr>
        <w:t>applicant</w:t>
      </w:r>
      <w:r w:rsidR="008B2377" w:rsidRPr="00EB61DA">
        <w:rPr>
          <w:rFonts w:ascii="Arial" w:hAnsi="Arial" w:cs="Arial"/>
          <w:sz w:val="20"/>
        </w:rPr>
        <w:t>’s</w:t>
      </w:r>
      <w:r w:rsidR="001508EB">
        <w:rPr>
          <w:rFonts w:ascii="Arial" w:hAnsi="Arial" w:cs="Arial"/>
          <w:sz w:val="20"/>
        </w:rPr>
        <w:t xml:space="preserve"> </w:t>
      </w:r>
      <w:r w:rsidRPr="00EB61DA">
        <w:rPr>
          <w:rFonts w:ascii="Arial" w:hAnsi="Arial" w:cs="Arial"/>
          <w:sz w:val="20"/>
        </w:rPr>
        <w:t xml:space="preserve">pharmacovigilance officer should include: </w:t>
      </w:r>
    </w:p>
    <w:p w:rsidR="00760E87" w:rsidRPr="00EB61DA" w:rsidRDefault="002C5C91" w:rsidP="00EB61DA">
      <w:pPr>
        <w:pStyle w:val="ListParagraph"/>
        <w:numPr>
          <w:ilvl w:val="2"/>
          <w:numId w:val="12"/>
        </w:numPr>
        <w:tabs>
          <w:tab w:val="left" w:pos="1247"/>
        </w:tabs>
        <w:suppressAutoHyphens/>
        <w:spacing w:before="80" w:line="260" w:lineRule="atLeast"/>
        <w:ind w:left="1247" w:hanging="567"/>
        <w:contextualSpacing w:val="0"/>
        <w:jc w:val="both"/>
        <w:rPr>
          <w:rFonts w:ascii="Arial" w:hAnsi="Arial"/>
          <w:sz w:val="20"/>
          <w:lang w:val="en-ZA"/>
        </w:rPr>
      </w:pPr>
      <w:r w:rsidRPr="00EB61DA">
        <w:rPr>
          <w:rFonts w:ascii="Arial" w:hAnsi="Arial" w:cs="Arial"/>
          <w:sz w:val="20"/>
          <w:szCs w:val="20"/>
          <w:lang w:val="en-ZA"/>
        </w:rPr>
        <w:t>t</w:t>
      </w:r>
      <w:r w:rsidR="00760E87" w:rsidRPr="00EB61DA">
        <w:rPr>
          <w:rFonts w:ascii="Arial" w:hAnsi="Arial" w:cs="Arial"/>
          <w:sz w:val="20"/>
          <w:szCs w:val="20"/>
          <w:lang w:val="en-ZA"/>
        </w:rPr>
        <w:t>he</w:t>
      </w:r>
      <w:r w:rsidR="00DE3A6F" w:rsidRPr="00EB61DA">
        <w:rPr>
          <w:rFonts w:ascii="Arial" w:hAnsi="Arial"/>
          <w:sz w:val="20"/>
          <w:lang w:val="en-ZA"/>
        </w:rPr>
        <w:t xml:space="preserve"> establishment and maintenance of a system which ensures that information about all suspected adverse reactions, which are reported to the </w:t>
      </w:r>
      <w:r w:rsidR="00E27763" w:rsidRPr="00EB61DA">
        <w:rPr>
          <w:rFonts w:ascii="Arial" w:hAnsi="Arial" w:cs="Arial"/>
          <w:sz w:val="20"/>
        </w:rPr>
        <w:t xml:space="preserve">holder or </w:t>
      </w:r>
      <w:r w:rsidR="00837221" w:rsidRPr="00EB61DA">
        <w:rPr>
          <w:rFonts w:ascii="Arial" w:hAnsi="Arial" w:cs="Arial"/>
          <w:sz w:val="20"/>
        </w:rPr>
        <w:t>applicant</w:t>
      </w:r>
      <w:r w:rsidR="00DE3A6F" w:rsidRPr="00EB61DA">
        <w:rPr>
          <w:rFonts w:ascii="Arial" w:hAnsi="Arial"/>
          <w:sz w:val="20"/>
          <w:lang w:val="en-ZA"/>
        </w:rPr>
        <w:t>, including to medical representatives and clinical research associates, is collected and collated so that it is accessible at a single point</w:t>
      </w:r>
      <w:r w:rsidRPr="00EB61DA">
        <w:rPr>
          <w:rFonts w:ascii="Arial" w:hAnsi="Arial" w:cs="Arial"/>
          <w:sz w:val="20"/>
          <w:szCs w:val="20"/>
          <w:lang w:val="en-ZA"/>
        </w:rPr>
        <w:t>;</w:t>
      </w:r>
    </w:p>
    <w:p w:rsidR="00760E87" w:rsidRPr="00EB61DA" w:rsidRDefault="002C5C91" w:rsidP="00EB61DA">
      <w:pPr>
        <w:pStyle w:val="ListParagraph"/>
        <w:numPr>
          <w:ilvl w:val="2"/>
          <w:numId w:val="12"/>
        </w:numPr>
        <w:tabs>
          <w:tab w:val="left" w:pos="1247"/>
        </w:tabs>
        <w:suppressAutoHyphens/>
        <w:spacing w:before="80" w:line="260" w:lineRule="atLeast"/>
        <w:ind w:left="1247" w:hanging="567"/>
        <w:contextualSpacing w:val="0"/>
        <w:jc w:val="both"/>
        <w:rPr>
          <w:rFonts w:ascii="Arial" w:hAnsi="Arial"/>
          <w:sz w:val="20"/>
          <w:lang w:val="en-ZA"/>
        </w:rPr>
      </w:pPr>
      <w:r w:rsidRPr="00EB61DA">
        <w:rPr>
          <w:rFonts w:ascii="Arial" w:hAnsi="Arial" w:cs="Arial"/>
          <w:sz w:val="20"/>
          <w:szCs w:val="20"/>
          <w:lang w:val="en-ZA"/>
        </w:rPr>
        <w:t>s</w:t>
      </w:r>
      <w:r w:rsidR="00760E87" w:rsidRPr="00EB61DA">
        <w:rPr>
          <w:rFonts w:ascii="Arial" w:hAnsi="Arial" w:cs="Arial"/>
          <w:sz w:val="20"/>
          <w:szCs w:val="20"/>
          <w:lang w:val="en-ZA"/>
        </w:rPr>
        <w:t>erving</w:t>
      </w:r>
      <w:r w:rsidR="00DE3A6F" w:rsidRPr="00EB61DA">
        <w:rPr>
          <w:rFonts w:ascii="Arial" w:hAnsi="Arial"/>
          <w:sz w:val="20"/>
          <w:lang w:val="en-ZA"/>
        </w:rPr>
        <w:t xml:space="preserve"> as a contact person for </w:t>
      </w:r>
      <w:r w:rsidR="008442D3" w:rsidRPr="00836111">
        <w:rPr>
          <w:rFonts w:ascii="Arial" w:hAnsi="Arial" w:cs="Arial"/>
          <w:sz w:val="20"/>
          <w:szCs w:val="20"/>
        </w:rPr>
        <w:t xml:space="preserve">the </w:t>
      </w:r>
      <w:r w:rsidR="008442D3" w:rsidRPr="00EA75C0">
        <w:rPr>
          <w:rFonts w:ascii="Arial" w:hAnsi="Arial" w:cs="Arial"/>
          <w:sz w:val="20"/>
          <w:szCs w:val="20"/>
        </w:rPr>
        <w:t>Authority</w:t>
      </w:r>
      <w:r w:rsidR="00836111">
        <w:rPr>
          <w:rFonts w:ascii="Arial" w:hAnsi="Arial" w:cs="Arial"/>
          <w:sz w:val="20"/>
          <w:szCs w:val="20"/>
        </w:rPr>
        <w:t xml:space="preserve"> </w:t>
      </w:r>
      <w:r w:rsidR="00DE3A6F" w:rsidRPr="00EB61DA">
        <w:rPr>
          <w:rFonts w:ascii="Arial" w:hAnsi="Arial"/>
          <w:sz w:val="20"/>
          <w:lang w:val="en-ZA"/>
        </w:rPr>
        <w:t>for all matters relating to pharmacovigilance</w:t>
      </w:r>
      <w:r w:rsidRPr="00EB61DA">
        <w:rPr>
          <w:rFonts w:ascii="Arial" w:hAnsi="Arial" w:cs="Arial"/>
          <w:sz w:val="20"/>
          <w:szCs w:val="20"/>
          <w:lang w:val="en-ZA"/>
        </w:rPr>
        <w:t>;</w:t>
      </w:r>
    </w:p>
    <w:p w:rsidR="00760E87" w:rsidRPr="00771CF5" w:rsidRDefault="002C5C91" w:rsidP="00EB61DA">
      <w:pPr>
        <w:pStyle w:val="ListParagraph"/>
        <w:numPr>
          <w:ilvl w:val="2"/>
          <w:numId w:val="12"/>
        </w:numPr>
        <w:tabs>
          <w:tab w:val="left" w:pos="1247"/>
        </w:tabs>
        <w:suppressAutoHyphens/>
        <w:spacing w:before="80" w:line="260" w:lineRule="atLeast"/>
        <w:ind w:left="1247" w:hanging="567"/>
        <w:contextualSpacing w:val="0"/>
        <w:jc w:val="both"/>
        <w:rPr>
          <w:rFonts w:ascii="Arial" w:hAnsi="Arial"/>
          <w:sz w:val="20"/>
          <w:lang w:val="en-ZA"/>
        </w:rPr>
      </w:pPr>
      <w:r w:rsidRPr="00771CF5">
        <w:rPr>
          <w:rFonts w:ascii="Arial" w:hAnsi="Arial" w:cs="Arial"/>
          <w:sz w:val="20"/>
          <w:szCs w:val="20"/>
          <w:lang w:val="en-ZA"/>
        </w:rPr>
        <w:t>t</w:t>
      </w:r>
      <w:r w:rsidR="00760E87" w:rsidRPr="00771CF5">
        <w:rPr>
          <w:rFonts w:ascii="Arial" w:hAnsi="Arial" w:cs="Arial"/>
          <w:sz w:val="20"/>
          <w:szCs w:val="20"/>
          <w:lang w:val="en-ZA"/>
        </w:rPr>
        <w:t>he</w:t>
      </w:r>
      <w:r w:rsidR="00DE3A6F" w:rsidRPr="00771CF5">
        <w:rPr>
          <w:rFonts w:ascii="Arial" w:hAnsi="Arial"/>
          <w:sz w:val="20"/>
          <w:lang w:val="en-ZA"/>
        </w:rPr>
        <w:t xml:space="preserve"> preparation of the following, either directly or by delegation/supervision, for submission to </w:t>
      </w:r>
      <w:r w:rsidR="008442D3" w:rsidRPr="00771CF5">
        <w:rPr>
          <w:rFonts w:ascii="Arial" w:hAnsi="Arial"/>
          <w:sz w:val="20"/>
        </w:rPr>
        <w:t>the</w:t>
      </w:r>
      <w:r w:rsidR="008442D3" w:rsidRPr="00771CF5">
        <w:rPr>
          <w:rFonts w:ascii="Arial" w:hAnsi="Arial"/>
          <w:sz w:val="20"/>
          <w:highlight w:val="yellow"/>
        </w:rPr>
        <w:t xml:space="preserve"> </w:t>
      </w:r>
      <w:r w:rsidR="008442D3" w:rsidRPr="00771CF5">
        <w:rPr>
          <w:rFonts w:ascii="Arial" w:hAnsi="Arial"/>
          <w:sz w:val="20"/>
        </w:rPr>
        <w:t>Authority</w:t>
      </w:r>
      <w:r w:rsidR="00DE3A6F" w:rsidRPr="00771CF5">
        <w:rPr>
          <w:rFonts w:ascii="Arial" w:hAnsi="Arial"/>
          <w:sz w:val="20"/>
        </w:rPr>
        <w:t>:</w:t>
      </w:r>
    </w:p>
    <w:p w:rsidR="005F7B48" w:rsidRPr="00771CF5" w:rsidRDefault="00DE3A6F" w:rsidP="00E44974">
      <w:pPr>
        <w:pStyle w:val="ListParagraph"/>
        <w:tabs>
          <w:tab w:val="left" w:pos="1588"/>
        </w:tabs>
        <w:suppressAutoHyphens/>
        <w:spacing w:before="20" w:line="260" w:lineRule="atLeast"/>
        <w:ind w:left="1587" w:hanging="340"/>
        <w:jc w:val="both"/>
        <w:rPr>
          <w:rFonts w:ascii="Arial" w:hAnsi="Arial"/>
          <w:sz w:val="20"/>
          <w:lang w:val="en-ZA"/>
        </w:rPr>
      </w:pPr>
      <w:r w:rsidRPr="00771CF5">
        <w:rPr>
          <w:rFonts w:ascii="Arial" w:hAnsi="Arial"/>
          <w:sz w:val="20"/>
          <w:lang w:val="en-ZA"/>
        </w:rPr>
        <w:t>-</w:t>
      </w:r>
      <w:r w:rsidRPr="00771CF5">
        <w:rPr>
          <w:rFonts w:ascii="Arial" w:hAnsi="Arial"/>
          <w:sz w:val="20"/>
          <w:lang w:val="en-ZA"/>
        </w:rPr>
        <w:tab/>
        <w:t>adverse drug reaction reports</w:t>
      </w:r>
      <w:r w:rsidR="002C5C91" w:rsidRPr="00771CF5">
        <w:rPr>
          <w:rFonts w:ascii="Arial" w:hAnsi="Arial" w:cs="Arial"/>
          <w:sz w:val="20"/>
          <w:szCs w:val="20"/>
          <w:lang w:val="en-ZA"/>
        </w:rPr>
        <w:t>;</w:t>
      </w:r>
    </w:p>
    <w:p w:rsidR="00760E87" w:rsidRPr="00771CF5" w:rsidRDefault="00760E87" w:rsidP="007831A0">
      <w:pPr>
        <w:widowControl/>
        <w:tabs>
          <w:tab w:val="left" w:pos="1588"/>
        </w:tabs>
        <w:suppressAutoHyphens/>
        <w:spacing w:before="20" w:line="260" w:lineRule="atLeast"/>
        <w:ind w:left="1587" w:hanging="340"/>
        <w:jc w:val="both"/>
        <w:rPr>
          <w:rFonts w:ascii="Arial" w:hAnsi="Arial"/>
          <w:sz w:val="20"/>
        </w:rPr>
      </w:pPr>
      <w:r w:rsidRPr="00771CF5">
        <w:rPr>
          <w:rFonts w:ascii="Arial" w:hAnsi="Arial"/>
          <w:sz w:val="20"/>
        </w:rPr>
        <w:t>-</w:t>
      </w:r>
      <w:r w:rsidR="00E44974" w:rsidRPr="00771CF5">
        <w:rPr>
          <w:rFonts w:ascii="Arial" w:hAnsi="Arial"/>
          <w:sz w:val="20"/>
        </w:rPr>
        <w:tab/>
        <w:t xml:space="preserve">summary report for both serious and non-serious </w:t>
      </w:r>
      <w:r w:rsidRPr="00771CF5">
        <w:rPr>
          <w:rFonts w:ascii="Arial" w:hAnsi="Arial"/>
          <w:sz w:val="20"/>
        </w:rPr>
        <w:t>ADRs</w:t>
      </w:r>
      <w:r w:rsidR="005F7B48" w:rsidRPr="00771CF5">
        <w:rPr>
          <w:rFonts w:ascii="Arial" w:hAnsi="Arial"/>
          <w:sz w:val="20"/>
        </w:rPr>
        <w:t xml:space="preserve"> occurring in South Africa</w:t>
      </w:r>
      <w:r w:rsidR="002C5C91" w:rsidRPr="00771CF5">
        <w:rPr>
          <w:rFonts w:ascii="Arial" w:hAnsi="Arial"/>
          <w:sz w:val="20"/>
        </w:rPr>
        <w:t>;</w:t>
      </w:r>
    </w:p>
    <w:p w:rsidR="00760E87" w:rsidRPr="00771CF5" w:rsidRDefault="00760E87" w:rsidP="007831A0">
      <w:pPr>
        <w:widowControl/>
        <w:tabs>
          <w:tab w:val="left" w:pos="1588"/>
        </w:tabs>
        <w:suppressAutoHyphens/>
        <w:spacing w:before="20" w:line="260" w:lineRule="atLeast"/>
        <w:ind w:left="1587" w:hanging="340"/>
        <w:jc w:val="both"/>
        <w:rPr>
          <w:rFonts w:ascii="Arial" w:hAnsi="Arial" w:cs="Arial"/>
          <w:sz w:val="20"/>
        </w:rPr>
      </w:pPr>
      <w:r w:rsidRPr="00771CF5">
        <w:rPr>
          <w:rFonts w:ascii="Arial" w:hAnsi="Arial" w:cs="Arial"/>
          <w:sz w:val="20"/>
        </w:rPr>
        <w:t>-</w:t>
      </w:r>
      <w:r w:rsidRPr="00771CF5">
        <w:rPr>
          <w:rFonts w:ascii="Arial" w:hAnsi="Arial" w:cs="Arial"/>
          <w:sz w:val="20"/>
        </w:rPr>
        <w:tab/>
        <w:t>Periodic Safety Update Reports (PSURs)</w:t>
      </w:r>
      <w:r w:rsidR="00327D72" w:rsidRPr="00771CF5">
        <w:rPr>
          <w:rFonts w:ascii="Arial" w:hAnsi="Arial" w:cs="Arial"/>
          <w:sz w:val="20"/>
        </w:rPr>
        <w:t xml:space="preserve"> or Periodic Benefit-Risk Evaluation Reports (PBRER)</w:t>
      </w:r>
      <w:r w:rsidRPr="00771CF5">
        <w:rPr>
          <w:rFonts w:ascii="Arial" w:hAnsi="Arial" w:cs="Arial"/>
          <w:sz w:val="20"/>
        </w:rPr>
        <w:t>, when necessary</w:t>
      </w:r>
      <w:r w:rsidR="002C5C91" w:rsidRPr="00771CF5">
        <w:rPr>
          <w:rFonts w:ascii="Arial" w:hAnsi="Arial" w:cs="Arial"/>
          <w:sz w:val="20"/>
        </w:rPr>
        <w:t>;</w:t>
      </w:r>
    </w:p>
    <w:p w:rsidR="00760E87" w:rsidRPr="00771CF5" w:rsidRDefault="00760E87" w:rsidP="007831A0">
      <w:pPr>
        <w:widowControl/>
        <w:tabs>
          <w:tab w:val="left" w:pos="1588"/>
        </w:tabs>
        <w:suppressAutoHyphens/>
        <w:spacing w:before="20" w:line="260" w:lineRule="atLeast"/>
        <w:ind w:left="1587" w:hanging="340"/>
        <w:jc w:val="both"/>
        <w:rPr>
          <w:rFonts w:ascii="Arial" w:hAnsi="Arial" w:cs="Arial"/>
          <w:sz w:val="20"/>
        </w:rPr>
      </w:pPr>
      <w:r w:rsidRPr="00771CF5">
        <w:rPr>
          <w:rFonts w:ascii="Arial" w:hAnsi="Arial" w:cs="Arial"/>
          <w:sz w:val="20"/>
        </w:rPr>
        <w:lastRenderedPageBreak/>
        <w:t>-</w:t>
      </w:r>
      <w:r w:rsidRPr="00771CF5">
        <w:rPr>
          <w:rFonts w:ascii="Arial" w:hAnsi="Arial" w:cs="Arial"/>
          <w:sz w:val="20"/>
        </w:rPr>
        <w:tab/>
        <w:t>company-sponsored post-registration study reports, when required</w:t>
      </w:r>
      <w:r w:rsidR="002C5C91" w:rsidRPr="00771CF5">
        <w:rPr>
          <w:rFonts w:ascii="Arial" w:hAnsi="Arial" w:cs="Arial"/>
          <w:sz w:val="20"/>
        </w:rPr>
        <w:t>; and</w:t>
      </w:r>
    </w:p>
    <w:p w:rsidR="00760E87" w:rsidRPr="00771CF5" w:rsidRDefault="00760E87" w:rsidP="007831A0">
      <w:pPr>
        <w:widowControl/>
        <w:tabs>
          <w:tab w:val="left" w:pos="1588"/>
        </w:tabs>
        <w:suppressAutoHyphens/>
        <w:spacing w:before="20" w:line="260" w:lineRule="atLeast"/>
        <w:ind w:left="1587" w:hanging="340"/>
        <w:jc w:val="both"/>
        <w:rPr>
          <w:rFonts w:ascii="Arial" w:hAnsi="Arial" w:cs="Arial"/>
          <w:sz w:val="20"/>
        </w:rPr>
      </w:pPr>
      <w:r w:rsidRPr="00771CF5">
        <w:rPr>
          <w:rFonts w:ascii="Arial" w:hAnsi="Arial" w:cs="Arial"/>
          <w:sz w:val="20"/>
        </w:rPr>
        <w:t>-</w:t>
      </w:r>
      <w:r w:rsidRPr="00771CF5">
        <w:rPr>
          <w:rFonts w:ascii="Arial" w:hAnsi="Arial" w:cs="Arial"/>
          <w:sz w:val="20"/>
        </w:rPr>
        <w:tab/>
        <w:t>ongoing pharmacovigilance evaluation during the post-registration period</w:t>
      </w:r>
      <w:r w:rsidR="002C5C91" w:rsidRPr="00771CF5">
        <w:rPr>
          <w:rFonts w:ascii="Arial" w:hAnsi="Arial" w:cs="Arial"/>
          <w:sz w:val="20"/>
        </w:rPr>
        <w:t>; and</w:t>
      </w:r>
    </w:p>
    <w:p w:rsidR="00771CF5" w:rsidRDefault="002C5C91" w:rsidP="00771CF5">
      <w:pPr>
        <w:pStyle w:val="ListParagraph"/>
        <w:numPr>
          <w:ilvl w:val="2"/>
          <w:numId w:val="12"/>
        </w:numPr>
        <w:tabs>
          <w:tab w:val="left" w:pos="1247"/>
        </w:tabs>
        <w:suppressAutoHyphens/>
        <w:spacing w:before="80" w:line="260" w:lineRule="atLeast"/>
        <w:ind w:left="1247" w:hanging="567"/>
        <w:contextualSpacing w:val="0"/>
        <w:jc w:val="both"/>
        <w:rPr>
          <w:rFonts w:ascii="Arial" w:hAnsi="Arial"/>
          <w:sz w:val="20"/>
          <w:lang w:val="en-ZA"/>
        </w:rPr>
      </w:pPr>
      <w:r w:rsidRPr="00EB61DA">
        <w:rPr>
          <w:rFonts w:ascii="Arial" w:hAnsi="Arial" w:cs="Arial"/>
          <w:sz w:val="20"/>
          <w:szCs w:val="20"/>
          <w:lang w:val="en-ZA"/>
        </w:rPr>
        <w:t>e</w:t>
      </w:r>
      <w:r w:rsidR="00DE3A6F" w:rsidRPr="00EB61DA">
        <w:rPr>
          <w:rFonts w:ascii="Arial" w:hAnsi="Arial"/>
          <w:sz w:val="20"/>
          <w:lang w:val="en-ZA"/>
        </w:rPr>
        <w:t xml:space="preserve">nsuring that any request from </w:t>
      </w:r>
      <w:r w:rsidR="008442D3" w:rsidRPr="00836111">
        <w:rPr>
          <w:rFonts w:ascii="Arial" w:hAnsi="Arial" w:cs="Arial"/>
          <w:sz w:val="20"/>
          <w:szCs w:val="20"/>
        </w:rPr>
        <w:t xml:space="preserve">the </w:t>
      </w:r>
      <w:r w:rsidR="008442D3" w:rsidRPr="00EA75C0">
        <w:rPr>
          <w:rFonts w:ascii="Arial" w:hAnsi="Arial" w:cs="Arial"/>
          <w:sz w:val="20"/>
          <w:szCs w:val="20"/>
        </w:rPr>
        <w:t>Authority</w:t>
      </w:r>
      <w:r w:rsidR="00836111" w:rsidRPr="00AB6897">
        <w:rPr>
          <w:rFonts w:ascii="Arial" w:hAnsi="Arial" w:cs="Arial"/>
          <w:color w:val="1F497D" w:themeColor="text2"/>
          <w:sz w:val="20"/>
          <w:szCs w:val="20"/>
        </w:rPr>
        <w:t xml:space="preserve"> </w:t>
      </w:r>
      <w:r w:rsidR="00DE3A6F" w:rsidRPr="00EB61DA">
        <w:rPr>
          <w:rFonts w:ascii="Arial" w:hAnsi="Arial"/>
          <w:sz w:val="20"/>
          <w:lang w:val="en-ZA"/>
        </w:rPr>
        <w:t xml:space="preserve">for additional information deemed necessary for the evaluation of the risk-benefit ratio of a medicine, is provided to </w:t>
      </w:r>
      <w:r w:rsidR="008442D3" w:rsidRPr="00836111">
        <w:rPr>
          <w:rFonts w:ascii="Arial" w:hAnsi="Arial" w:cs="Arial"/>
          <w:sz w:val="20"/>
          <w:szCs w:val="20"/>
        </w:rPr>
        <w:t xml:space="preserve">the </w:t>
      </w:r>
      <w:r w:rsidR="008442D3" w:rsidRPr="004B3A00">
        <w:rPr>
          <w:rFonts w:ascii="Arial" w:hAnsi="Arial" w:cs="Arial"/>
          <w:sz w:val="20"/>
          <w:szCs w:val="20"/>
        </w:rPr>
        <w:t>Authority</w:t>
      </w:r>
      <w:r w:rsidR="00836111">
        <w:rPr>
          <w:rFonts w:ascii="Arial" w:hAnsi="Arial" w:cs="Arial"/>
          <w:sz w:val="20"/>
          <w:szCs w:val="20"/>
        </w:rPr>
        <w:t xml:space="preserve"> </w:t>
      </w:r>
      <w:r w:rsidR="00DE3A6F" w:rsidRPr="00EB61DA">
        <w:rPr>
          <w:rFonts w:ascii="Arial" w:hAnsi="Arial"/>
          <w:sz w:val="20"/>
          <w:lang w:val="en-ZA"/>
        </w:rPr>
        <w:t>promptly and</w:t>
      </w:r>
      <w:r w:rsidR="004B3A00">
        <w:rPr>
          <w:rFonts w:ascii="Arial" w:hAnsi="Arial"/>
          <w:sz w:val="20"/>
          <w:lang w:val="en-ZA"/>
        </w:rPr>
        <w:t xml:space="preserve"> </w:t>
      </w:r>
      <w:r w:rsidR="006A52FC" w:rsidRPr="00EB61DA">
        <w:rPr>
          <w:rFonts w:ascii="Arial" w:hAnsi="Arial" w:cs="Arial"/>
          <w:sz w:val="20"/>
          <w:szCs w:val="20"/>
        </w:rPr>
        <w:t>in accordance with all requirements</w:t>
      </w:r>
      <w:r w:rsidR="00E44974">
        <w:rPr>
          <w:rFonts w:ascii="Arial" w:hAnsi="Arial"/>
          <w:sz w:val="20"/>
          <w:lang w:val="en-ZA"/>
        </w:rPr>
        <w:t>,</w:t>
      </w:r>
      <w:r w:rsidR="00DE3A6F" w:rsidRPr="00EB61DA">
        <w:rPr>
          <w:rFonts w:ascii="Arial" w:hAnsi="Arial"/>
          <w:sz w:val="20"/>
          <w:lang w:val="en-ZA"/>
        </w:rPr>
        <w:t xml:space="preserve"> </w:t>
      </w:r>
    </w:p>
    <w:p w:rsidR="00771CF5" w:rsidRPr="00771CF5" w:rsidRDefault="00771CF5" w:rsidP="00771CF5">
      <w:pPr>
        <w:pStyle w:val="ListParagraph"/>
        <w:numPr>
          <w:ilvl w:val="2"/>
          <w:numId w:val="12"/>
        </w:numPr>
        <w:tabs>
          <w:tab w:val="left" w:pos="1247"/>
        </w:tabs>
        <w:suppressAutoHyphens/>
        <w:spacing w:before="80" w:line="260" w:lineRule="atLeast"/>
        <w:ind w:left="1247" w:hanging="567"/>
        <w:contextualSpacing w:val="0"/>
        <w:jc w:val="both"/>
        <w:rPr>
          <w:rFonts w:ascii="Arial" w:hAnsi="Arial"/>
          <w:sz w:val="20"/>
          <w:lang w:val="en-ZA"/>
        </w:rPr>
      </w:pPr>
      <w:r w:rsidRPr="00771CF5">
        <w:rPr>
          <w:rFonts w:ascii="Arial" w:hAnsi="Arial"/>
          <w:sz w:val="20"/>
        </w:rPr>
        <w:t>advise the Authority of any action relating to safety that has been taken by a medicines regulatory agency in another country as stipulated in 4.2.</w:t>
      </w:r>
    </w:p>
    <w:p w:rsidR="00BC27AC" w:rsidRPr="004B3A00" w:rsidRDefault="009F6055" w:rsidP="00EB61DA">
      <w:pPr>
        <w:pStyle w:val="ListParagraph"/>
        <w:numPr>
          <w:ilvl w:val="2"/>
          <w:numId w:val="12"/>
        </w:numPr>
        <w:tabs>
          <w:tab w:val="left" w:pos="1247"/>
        </w:tabs>
        <w:suppressAutoHyphens/>
        <w:spacing w:before="80" w:line="260" w:lineRule="atLeast"/>
        <w:ind w:left="1247" w:hanging="567"/>
        <w:contextualSpacing w:val="0"/>
        <w:jc w:val="both"/>
        <w:rPr>
          <w:rFonts w:ascii="Arial" w:hAnsi="Arial"/>
          <w:sz w:val="20"/>
          <w:lang w:val="en-ZA"/>
        </w:rPr>
      </w:pPr>
      <w:r w:rsidRPr="004B3A00">
        <w:rPr>
          <w:rFonts w:ascii="Arial" w:hAnsi="Arial"/>
          <w:sz w:val="20"/>
          <w:lang w:val="en-ZA"/>
        </w:rPr>
        <w:t xml:space="preserve">ensure that </w:t>
      </w:r>
      <w:r w:rsidR="00BC27AC" w:rsidRPr="004B3A00">
        <w:rPr>
          <w:rFonts w:ascii="Arial" w:hAnsi="Arial"/>
          <w:sz w:val="20"/>
          <w:lang w:val="en-ZA"/>
        </w:rPr>
        <w:t>all th</w:t>
      </w:r>
      <w:r w:rsidR="004B3A00" w:rsidRPr="004B3A00">
        <w:rPr>
          <w:rFonts w:ascii="Arial" w:hAnsi="Arial"/>
          <w:sz w:val="20"/>
          <w:lang w:val="en-ZA"/>
        </w:rPr>
        <w:t>e above responsibilities are</w:t>
      </w:r>
      <w:r w:rsidR="00E44974">
        <w:rPr>
          <w:rFonts w:ascii="Arial" w:hAnsi="Arial"/>
          <w:sz w:val="20"/>
          <w:lang w:val="en-ZA"/>
        </w:rPr>
        <w:t xml:space="preserve"> met for all old and </w:t>
      </w:r>
      <w:r w:rsidR="00BC27AC" w:rsidRPr="004B3A00">
        <w:rPr>
          <w:rFonts w:ascii="Arial" w:hAnsi="Arial"/>
          <w:sz w:val="20"/>
          <w:lang w:val="en-ZA"/>
        </w:rPr>
        <w:t>registered</w:t>
      </w:r>
      <w:r w:rsidR="00E44974">
        <w:rPr>
          <w:rFonts w:ascii="Arial" w:hAnsi="Arial"/>
          <w:sz w:val="20"/>
          <w:lang w:val="en-ZA"/>
        </w:rPr>
        <w:t xml:space="preserve"> medicines</w:t>
      </w:r>
      <w:r w:rsidR="00BC27AC" w:rsidRPr="004B3A00">
        <w:rPr>
          <w:rFonts w:ascii="Arial" w:hAnsi="Arial"/>
          <w:sz w:val="20"/>
          <w:lang w:val="en-ZA"/>
        </w:rPr>
        <w:t xml:space="preserve"> on </w:t>
      </w:r>
      <w:r w:rsidR="008442D3" w:rsidRPr="004B3A00">
        <w:rPr>
          <w:rFonts w:ascii="Arial" w:hAnsi="Arial"/>
          <w:sz w:val="20"/>
          <w:lang w:val="en-ZA"/>
        </w:rPr>
        <w:t>the Authority</w:t>
      </w:r>
      <w:r w:rsidR="001508EB" w:rsidRPr="004B3A00">
        <w:rPr>
          <w:rFonts w:ascii="Arial" w:hAnsi="Arial"/>
          <w:sz w:val="20"/>
          <w:lang w:val="en-ZA"/>
        </w:rPr>
        <w:t xml:space="preserve">'s </w:t>
      </w:r>
      <w:r w:rsidR="00BC27AC" w:rsidRPr="004B3A00">
        <w:rPr>
          <w:rFonts w:ascii="Arial" w:hAnsi="Arial"/>
          <w:sz w:val="20"/>
          <w:lang w:val="en-ZA"/>
        </w:rPr>
        <w:t>Register regardless</w:t>
      </w:r>
      <w:r w:rsidR="001508EB" w:rsidRPr="004B3A00">
        <w:rPr>
          <w:rFonts w:ascii="Arial" w:hAnsi="Arial"/>
          <w:sz w:val="20"/>
          <w:lang w:val="en-ZA"/>
        </w:rPr>
        <w:t xml:space="preserve"> </w:t>
      </w:r>
      <w:r w:rsidR="00BC27AC" w:rsidRPr="004B3A00">
        <w:rPr>
          <w:rFonts w:ascii="Arial" w:hAnsi="Arial"/>
          <w:sz w:val="20"/>
          <w:lang w:val="en-ZA"/>
        </w:rPr>
        <w:t>of their South African marketing status - that is, whether they are currently available for purchase, withdrawn from sale or otherwise</w:t>
      </w:r>
      <w:r w:rsidR="001508EB" w:rsidRPr="004B3A00">
        <w:rPr>
          <w:rFonts w:ascii="Arial" w:hAnsi="Arial"/>
          <w:sz w:val="20"/>
          <w:lang w:val="en-ZA"/>
        </w:rPr>
        <w:t xml:space="preserve"> </w:t>
      </w:r>
      <w:r w:rsidR="00BC27AC" w:rsidRPr="004B3A00">
        <w:rPr>
          <w:rFonts w:ascii="Arial" w:hAnsi="Arial"/>
          <w:sz w:val="20"/>
          <w:lang w:val="en-ZA"/>
        </w:rPr>
        <w:t xml:space="preserve">supplied. </w:t>
      </w:r>
    </w:p>
    <w:p w:rsidR="00760E87" w:rsidRPr="00EB61DA" w:rsidRDefault="00760E87" w:rsidP="0056753E">
      <w:pPr>
        <w:pStyle w:val="Heading2"/>
      </w:pPr>
      <w:bookmarkStart w:id="49" w:name="_Toc229451052"/>
      <w:bookmarkStart w:id="50" w:name="_Toc233188137"/>
      <w:bookmarkStart w:id="51" w:name="_Toc396005406"/>
      <w:bookmarkStart w:id="52" w:name="_Toc5282784"/>
      <w:r w:rsidRPr="00EB61DA">
        <w:t>3.3</w:t>
      </w:r>
      <w:r w:rsidRPr="00EB61DA">
        <w:tab/>
        <w:t>Contractual Arrangements</w:t>
      </w:r>
      <w:bookmarkEnd w:id="49"/>
      <w:bookmarkEnd w:id="50"/>
      <w:bookmarkEnd w:id="51"/>
      <w:bookmarkEnd w:id="52"/>
    </w:p>
    <w:p w:rsidR="003C6D08" w:rsidRDefault="008A4E1A" w:rsidP="00EB61DA">
      <w:pPr>
        <w:widowControl/>
        <w:suppressAutoHyphens/>
        <w:spacing w:before="120" w:line="260" w:lineRule="atLeast"/>
        <w:ind w:left="680"/>
        <w:jc w:val="both"/>
        <w:rPr>
          <w:rFonts w:ascii="Arial" w:hAnsi="Arial" w:cs="Arial"/>
          <w:sz w:val="20"/>
        </w:rPr>
      </w:pPr>
      <w:r w:rsidRPr="00EB61DA">
        <w:rPr>
          <w:rFonts w:ascii="Arial" w:hAnsi="Arial" w:cs="Arial"/>
          <w:sz w:val="20"/>
        </w:rPr>
        <w:t>A</w:t>
      </w:r>
      <w:r w:rsidR="002C5C91" w:rsidRPr="00EB61DA">
        <w:rPr>
          <w:rFonts w:ascii="Arial" w:hAnsi="Arial" w:cs="Arial"/>
          <w:sz w:val="20"/>
        </w:rPr>
        <w:t xml:space="preserve"> holder or</w:t>
      </w:r>
      <w:r w:rsidR="004E1C55" w:rsidRPr="00EB61DA">
        <w:rPr>
          <w:rFonts w:ascii="Arial" w:hAnsi="Arial" w:cs="Arial"/>
          <w:sz w:val="20"/>
        </w:rPr>
        <w:t xml:space="preserve"> applicant </w:t>
      </w:r>
      <w:r w:rsidR="00760E87" w:rsidRPr="00EB61DA">
        <w:rPr>
          <w:rFonts w:ascii="Arial" w:hAnsi="Arial" w:cs="Arial"/>
          <w:sz w:val="20"/>
        </w:rPr>
        <w:t>may</w:t>
      </w:r>
      <w:r w:rsidR="009F6055">
        <w:rPr>
          <w:rFonts w:ascii="Arial" w:hAnsi="Arial" w:cs="Arial"/>
          <w:sz w:val="20"/>
        </w:rPr>
        <w:t xml:space="preserve"> </w:t>
      </w:r>
      <w:r w:rsidR="005F7B48" w:rsidRPr="00EB61DA">
        <w:rPr>
          <w:rFonts w:ascii="Arial" w:hAnsi="Arial" w:cs="Arial"/>
          <w:sz w:val="20"/>
        </w:rPr>
        <w:t>contract</w:t>
      </w:r>
      <w:r w:rsidR="009F6055">
        <w:rPr>
          <w:rFonts w:ascii="Arial" w:hAnsi="Arial" w:cs="Arial"/>
          <w:sz w:val="20"/>
        </w:rPr>
        <w:t xml:space="preserve"> </w:t>
      </w:r>
      <w:r w:rsidR="00760E87" w:rsidRPr="00EB61DA">
        <w:rPr>
          <w:rFonts w:ascii="Arial" w:hAnsi="Arial" w:cs="Arial"/>
          <w:sz w:val="20"/>
        </w:rPr>
        <w:t>any or all of the pharmacov</w:t>
      </w:r>
      <w:r w:rsidR="009E1B1E">
        <w:rPr>
          <w:rFonts w:ascii="Arial" w:hAnsi="Arial" w:cs="Arial"/>
          <w:sz w:val="20"/>
        </w:rPr>
        <w:t>igilance tasks and functions, ex</w:t>
      </w:r>
      <w:r w:rsidR="00760E87" w:rsidRPr="00EB61DA">
        <w:rPr>
          <w:rFonts w:ascii="Arial" w:hAnsi="Arial" w:cs="Arial"/>
          <w:sz w:val="20"/>
        </w:rPr>
        <w:t>cluding the role of pharmacovigilance</w:t>
      </w:r>
      <w:r w:rsidR="006A52FC" w:rsidRPr="00EB61DA">
        <w:rPr>
          <w:rFonts w:ascii="Arial" w:hAnsi="Arial" w:cs="Arial"/>
          <w:sz w:val="20"/>
        </w:rPr>
        <w:t xml:space="preserve"> officer</w:t>
      </w:r>
      <w:r w:rsidR="00760E87" w:rsidRPr="00B32F26">
        <w:rPr>
          <w:rFonts w:ascii="Arial" w:hAnsi="Arial" w:cs="Arial"/>
          <w:sz w:val="20"/>
        </w:rPr>
        <w:t xml:space="preserve">, to another person or organisation, but the ultimate responsibility for the fulfilment of all pharmacovigilance obligations and the quality and integrity of this always resides with the </w:t>
      </w:r>
      <w:r w:rsidR="00E27763" w:rsidRPr="005F7F60">
        <w:rPr>
          <w:rFonts w:ascii="Arial" w:hAnsi="Arial" w:cs="Arial"/>
          <w:sz w:val="20"/>
        </w:rPr>
        <w:t>holder</w:t>
      </w:r>
      <w:r w:rsidR="009F6055">
        <w:rPr>
          <w:rFonts w:ascii="Arial" w:hAnsi="Arial" w:cs="Arial"/>
          <w:sz w:val="20"/>
        </w:rPr>
        <w:t xml:space="preserve"> </w:t>
      </w:r>
      <w:r w:rsidR="00E27763" w:rsidRPr="00EB61DA">
        <w:rPr>
          <w:rFonts w:ascii="Arial" w:hAnsi="Arial" w:cs="Arial"/>
          <w:sz w:val="20"/>
        </w:rPr>
        <w:t>or</w:t>
      </w:r>
      <w:r w:rsidR="009F6055">
        <w:rPr>
          <w:rFonts w:ascii="Arial" w:hAnsi="Arial" w:cs="Arial"/>
          <w:sz w:val="20"/>
        </w:rPr>
        <w:t xml:space="preserve"> </w:t>
      </w:r>
      <w:r w:rsidR="004E1C55" w:rsidRPr="00EB61DA">
        <w:rPr>
          <w:rFonts w:ascii="Arial" w:hAnsi="Arial" w:cs="Arial"/>
          <w:sz w:val="20"/>
        </w:rPr>
        <w:t>applicant</w:t>
      </w:r>
      <w:r w:rsidR="00760E87" w:rsidRPr="00EB61DA">
        <w:rPr>
          <w:rFonts w:ascii="Arial" w:hAnsi="Arial" w:cs="Arial"/>
          <w:sz w:val="20"/>
        </w:rPr>
        <w:t>.</w:t>
      </w:r>
    </w:p>
    <w:p w:rsidR="00760E87" w:rsidRDefault="00A64F63" w:rsidP="007F4C10">
      <w:pPr>
        <w:pStyle w:val="Heading1"/>
      </w:pPr>
      <w:bookmarkStart w:id="53" w:name="_Toc396005415"/>
      <w:bookmarkStart w:id="54" w:name="_Toc5282785"/>
      <w:r w:rsidRPr="00C213B8">
        <w:rPr>
          <w:color w:val="auto"/>
        </w:rPr>
        <w:t>4</w:t>
      </w:r>
      <w:r w:rsidR="00760E87">
        <w:tab/>
      </w:r>
      <w:bookmarkStart w:id="55" w:name="Post_registration"/>
      <w:bookmarkEnd w:id="55"/>
      <w:r w:rsidR="00A40C9C">
        <w:t xml:space="preserve">ADVERSE DRUG REACTION </w:t>
      </w:r>
      <w:r w:rsidR="00760E87">
        <w:t>REPORTS</w:t>
      </w:r>
      <w:bookmarkEnd w:id="53"/>
      <w:bookmarkEnd w:id="54"/>
    </w:p>
    <w:p w:rsidR="002E3BA4" w:rsidRDefault="002E3BA4"/>
    <w:p w:rsidR="002E3BA4" w:rsidRPr="004B3A00" w:rsidRDefault="0025100F" w:rsidP="00F61002">
      <w:pPr>
        <w:ind w:left="540" w:firstLine="27"/>
        <w:rPr>
          <w:rFonts w:cs="Arial"/>
        </w:rPr>
      </w:pPr>
      <w:r w:rsidRPr="004B3A00">
        <w:rPr>
          <w:rFonts w:ascii="Arial" w:hAnsi="Arial" w:cs="Arial"/>
          <w:sz w:val="20"/>
        </w:rPr>
        <w:t xml:space="preserve">In order to report </w:t>
      </w:r>
      <w:r w:rsidR="009F6055" w:rsidRPr="004B3A00">
        <w:rPr>
          <w:rFonts w:ascii="Arial" w:hAnsi="Arial" w:cs="Arial"/>
          <w:sz w:val="20"/>
        </w:rPr>
        <w:t xml:space="preserve">ADRs </w:t>
      </w:r>
      <w:r w:rsidRPr="004B3A00">
        <w:rPr>
          <w:rFonts w:ascii="Arial" w:hAnsi="Arial" w:cs="Arial"/>
          <w:sz w:val="20"/>
        </w:rPr>
        <w:t xml:space="preserve">in accordance with the regulations, it is sufficient that each applicant report to </w:t>
      </w:r>
      <w:r w:rsidR="008442D3" w:rsidRPr="004B3A00">
        <w:rPr>
          <w:rFonts w:ascii="Arial" w:hAnsi="Arial" w:cs="Arial"/>
          <w:sz w:val="20"/>
        </w:rPr>
        <w:t>the Authority</w:t>
      </w:r>
      <w:r w:rsidRPr="004B3A00">
        <w:rPr>
          <w:rFonts w:ascii="Arial" w:hAnsi="Arial" w:cs="Arial"/>
          <w:sz w:val="20"/>
        </w:rPr>
        <w:t xml:space="preserve"> the following domestic </w:t>
      </w:r>
      <w:r w:rsidR="00D121E5" w:rsidRPr="004B3A00">
        <w:rPr>
          <w:rFonts w:ascii="Arial" w:hAnsi="Arial" w:cs="Arial"/>
          <w:sz w:val="20"/>
        </w:rPr>
        <w:t xml:space="preserve">(South African) </w:t>
      </w:r>
      <w:r w:rsidRPr="004B3A00">
        <w:rPr>
          <w:rFonts w:ascii="Arial" w:hAnsi="Arial" w:cs="Arial"/>
          <w:sz w:val="20"/>
        </w:rPr>
        <w:t>cases as stipulated below:</w:t>
      </w:r>
    </w:p>
    <w:p w:rsidR="002E3BA4" w:rsidRPr="004B3A00" w:rsidRDefault="00D121E5">
      <w:pPr>
        <w:pStyle w:val="ListParagraph"/>
        <w:numPr>
          <w:ilvl w:val="0"/>
          <w:numId w:val="38"/>
        </w:numPr>
        <w:rPr>
          <w:rFonts w:cs="Arial"/>
        </w:rPr>
      </w:pPr>
      <w:r w:rsidRPr="004B3A00">
        <w:rPr>
          <w:rFonts w:ascii="Arial" w:hAnsi="Arial" w:cs="Arial"/>
          <w:sz w:val="20"/>
          <w:szCs w:val="20"/>
        </w:rPr>
        <w:t>s</w:t>
      </w:r>
      <w:r w:rsidR="0025100F" w:rsidRPr="004B3A00">
        <w:rPr>
          <w:rFonts w:ascii="Arial" w:hAnsi="Arial" w:cs="Arial"/>
          <w:sz w:val="20"/>
          <w:szCs w:val="20"/>
        </w:rPr>
        <w:t>erious ADRs</w:t>
      </w:r>
    </w:p>
    <w:p w:rsidR="002E3BA4" w:rsidRPr="004B3A00" w:rsidRDefault="0025100F" w:rsidP="009F6055">
      <w:pPr>
        <w:pStyle w:val="ListParagraph"/>
        <w:numPr>
          <w:ilvl w:val="0"/>
          <w:numId w:val="38"/>
        </w:numPr>
        <w:rPr>
          <w:rFonts w:cs="Arial"/>
        </w:rPr>
      </w:pPr>
      <w:r w:rsidRPr="004B3A00">
        <w:rPr>
          <w:rFonts w:ascii="Arial" w:hAnsi="Arial" w:cs="Arial"/>
          <w:sz w:val="20"/>
          <w:szCs w:val="20"/>
        </w:rPr>
        <w:t xml:space="preserve">unusual failure in efficacy reports </w:t>
      </w:r>
      <w:r w:rsidR="000E372B" w:rsidRPr="004B3A00">
        <w:rPr>
          <w:rFonts w:ascii="Arial" w:hAnsi="Arial" w:cs="Arial"/>
          <w:sz w:val="20"/>
          <w:szCs w:val="20"/>
        </w:rPr>
        <w:t xml:space="preserve">especially </w:t>
      </w:r>
      <w:r w:rsidRPr="004B3A00">
        <w:rPr>
          <w:rFonts w:ascii="Arial" w:hAnsi="Arial" w:cs="Arial"/>
          <w:sz w:val="20"/>
          <w:szCs w:val="20"/>
        </w:rPr>
        <w:t>for new medicines (registered within the previous 5 years).</w:t>
      </w:r>
    </w:p>
    <w:p w:rsidR="00760E87" w:rsidRDefault="00A64F63" w:rsidP="0056753E">
      <w:pPr>
        <w:pStyle w:val="Heading2"/>
      </w:pPr>
      <w:bookmarkStart w:id="56" w:name="_Toc396005416"/>
      <w:bookmarkStart w:id="57" w:name="_Toc5282786"/>
      <w:r w:rsidRPr="00C213B8">
        <w:t>4</w:t>
      </w:r>
      <w:r w:rsidR="00760E87" w:rsidRPr="00C213B8">
        <w:t>.</w:t>
      </w:r>
      <w:r w:rsidR="00760E87">
        <w:t>1</w:t>
      </w:r>
      <w:r w:rsidR="00760E87">
        <w:tab/>
        <w:t>Time frames for</w:t>
      </w:r>
      <w:r w:rsidR="009F6055">
        <w:t xml:space="preserve"> </w:t>
      </w:r>
      <w:r w:rsidR="001B5FA9" w:rsidRPr="006A1579">
        <w:t>ADRs</w:t>
      </w:r>
      <w:r w:rsidR="009F6055">
        <w:t xml:space="preserve"> </w:t>
      </w:r>
      <w:r w:rsidR="00760E87">
        <w:t>occurring in South Africa</w:t>
      </w:r>
      <w:bookmarkEnd w:id="56"/>
      <w:bookmarkEnd w:id="57"/>
    </w:p>
    <w:p w:rsidR="00760E87" w:rsidRPr="007831A0" w:rsidRDefault="00760E87" w:rsidP="007831A0">
      <w:pPr>
        <w:widowControl/>
        <w:tabs>
          <w:tab w:val="left" w:pos="1247"/>
        </w:tabs>
        <w:suppressAutoHyphens/>
        <w:spacing w:before="80" w:line="280" w:lineRule="atLeast"/>
        <w:ind w:left="1247" w:hanging="567"/>
        <w:jc w:val="both"/>
        <w:rPr>
          <w:rFonts w:ascii="Arial" w:hAnsi="Arial"/>
          <w:sz w:val="20"/>
        </w:rPr>
      </w:pPr>
      <w:r>
        <w:rPr>
          <w:rFonts w:ascii="Arial" w:hAnsi="Arial"/>
          <w:sz w:val="20"/>
        </w:rPr>
        <w:t>(</w:t>
      </w:r>
      <w:proofErr w:type="spellStart"/>
      <w:r>
        <w:rPr>
          <w:rFonts w:ascii="Arial" w:hAnsi="Arial"/>
          <w:sz w:val="20"/>
        </w:rPr>
        <w:t>i</w:t>
      </w:r>
      <w:proofErr w:type="spellEnd"/>
      <w:r>
        <w:rPr>
          <w:rFonts w:ascii="Arial" w:hAnsi="Arial"/>
          <w:sz w:val="20"/>
        </w:rPr>
        <w:t>)</w:t>
      </w:r>
      <w:r>
        <w:rPr>
          <w:rFonts w:ascii="Arial" w:hAnsi="Arial"/>
          <w:sz w:val="20"/>
        </w:rPr>
        <w:tab/>
        <w:t>All serious</w:t>
      </w:r>
      <w:r w:rsidR="00616759">
        <w:rPr>
          <w:rFonts w:ascii="Arial" w:hAnsi="Arial"/>
          <w:sz w:val="20"/>
        </w:rPr>
        <w:t>, suspected</w:t>
      </w:r>
      <w:r w:rsidR="009F6055">
        <w:rPr>
          <w:rFonts w:ascii="Arial" w:hAnsi="Arial"/>
          <w:sz w:val="20"/>
        </w:rPr>
        <w:t xml:space="preserve"> </w:t>
      </w:r>
      <w:r>
        <w:rPr>
          <w:rFonts w:ascii="Arial" w:hAnsi="Arial"/>
          <w:sz w:val="20"/>
        </w:rPr>
        <w:t xml:space="preserve">adverse drug reactions, </w:t>
      </w:r>
      <w:r w:rsidRPr="00925E22">
        <w:rPr>
          <w:rFonts w:ascii="Arial" w:hAnsi="Arial"/>
          <w:sz w:val="20"/>
        </w:rPr>
        <w:t>whether expected or unexpected</w:t>
      </w:r>
      <w:r w:rsidR="006A52FC">
        <w:rPr>
          <w:rFonts w:ascii="Arial" w:hAnsi="Arial"/>
          <w:sz w:val="20"/>
        </w:rPr>
        <w:t>,</w:t>
      </w:r>
      <w:r>
        <w:rPr>
          <w:rFonts w:ascii="Arial" w:hAnsi="Arial"/>
          <w:sz w:val="20"/>
        </w:rPr>
        <w:t xml:space="preserve"> occurring in </w:t>
      </w:r>
      <w:r w:rsidRPr="007831A0">
        <w:rPr>
          <w:rFonts w:ascii="Arial" w:hAnsi="Arial"/>
          <w:sz w:val="20"/>
        </w:rPr>
        <w:t>South Africa with any</w:t>
      </w:r>
      <w:r w:rsidRPr="00AB6897">
        <w:rPr>
          <w:rFonts w:ascii="Arial" w:hAnsi="Arial"/>
          <w:color w:val="1F497D" w:themeColor="text2"/>
          <w:sz w:val="20"/>
        </w:rPr>
        <w:t xml:space="preserve"> </w:t>
      </w:r>
      <w:r w:rsidR="00E44974" w:rsidRPr="00727472">
        <w:rPr>
          <w:rFonts w:ascii="Arial" w:hAnsi="Arial"/>
          <w:sz w:val="20"/>
        </w:rPr>
        <w:t xml:space="preserve">old or </w:t>
      </w:r>
      <w:r w:rsidR="00D121E5" w:rsidRPr="004B3A00">
        <w:rPr>
          <w:rFonts w:ascii="Arial" w:hAnsi="Arial"/>
          <w:sz w:val="20"/>
        </w:rPr>
        <w:t>registered</w:t>
      </w:r>
      <w:r w:rsidR="00D121E5" w:rsidRPr="00AB6897">
        <w:rPr>
          <w:rFonts w:ascii="Arial" w:hAnsi="Arial"/>
          <w:color w:val="1F497D" w:themeColor="text2"/>
          <w:sz w:val="20"/>
        </w:rPr>
        <w:t xml:space="preserve"> </w:t>
      </w:r>
      <w:r w:rsidRPr="007831A0">
        <w:rPr>
          <w:rFonts w:ascii="Arial" w:hAnsi="Arial"/>
          <w:sz w:val="20"/>
        </w:rPr>
        <w:t xml:space="preserve">medicine, must be reported by the </w:t>
      </w:r>
      <w:r w:rsidR="002C5C91" w:rsidRPr="007831A0">
        <w:rPr>
          <w:rFonts w:ascii="Arial" w:hAnsi="Arial"/>
          <w:sz w:val="20"/>
        </w:rPr>
        <w:t xml:space="preserve">holder or </w:t>
      </w:r>
      <w:r w:rsidR="004E1C55" w:rsidRPr="007831A0">
        <w:rPr>
          <w:rFonts w:ascii="Arial" w:hAnsi="Arial"/>
          <w:sz w:val="20"/>
        </w:rPr>
        <w:t>applicant</w:t>
      </w:r>
      <w:r w:rsidRPr="007831A0">
        <w:rPr>
          <w:rFonts w:ascii="Arial" w:hAnsi="Arial"/>
          <w:sz w:val="20"/>
        </w:rPr>
        <w:t xml:space="preserve"> within 15 calendar days of receipt of such information.</w:t>
      </w:r>
    </w:p>
    <w:p w:rsidR="00616759" w:rsidRPr="004B3A00" w:rsidRDefault="00C253EB" w:rsidP="007831A0">
      <w:pPr>
        <w:widowControl/>
        <w:tabs>
          <w:tab w:val="left" w:pos="1247"/>
        </w:tabs>
        <w:suppressAutoHyphens/>
        <w:spacing w:before="80" w:line="280" w:lineRule="atLeast"/>
        <w:ind w:left="1247" w:hanging="567"/>
        <w:jc w:val="both"/>
        <w:rPr>
          <w:rFonts w:ascii="Arial" w:hAnsi="Arial"/>
          <w:sz w:val="20"/>
        </w:rPr>
      </w:pPr>
      <w:r w:rsidRPr="007831A0">
        <w:rPr>
          <w:rFonts w:ascii="Arial" w:hAnsi="Arial"/>
          <w:sz w:val="20"/>
        </w:rPr>
        <w:t>(ii)</w:t>
      </w:r>
      <w:r w:rsidRPr="007831A0">
        <w:rPr>
          <w:rFonts w:ascii="Arial" w:hAnsi="Arial"/>
          <w:sz w:val="20"/>
        </w:rPr>
        <w:tab/>
        <w:t xml:space="preserve">All non-serious, </w:t>
      </w:r>
      <w:r w:rsidR="0043682C" w:rsidRPr="00250E43">
        <w:rPr>
          <w:rFonts w:ascii="Arial" w:hAnsi="Arial"/>
          <w:sz w:val="20"/>
        </w:rPr>
        <w:t>expected and</w:t>
      </w:r>
      <w:r w:rsidR="009F6055">
        <w:rPr>
          <w:rFonts w:ascii="Arial" w:hAnsi="Arial"/>
          <w:sz w:val="20"/>
        </w:rPr>
        <w:t xml:space="preserve"> </w:t>
      </w:r>
      <w:r w:rsidR="00760E87" w:rsidRPr="007831A0">
        <w:rPr>
          <w:rFonts w:ascii="Arial" w:hAnsi="Arial"/>
          <w:sz w:val="20"/>
        </w:rPr>
        <w:t xml:space="preserve">unexpected, </w:t>
      </w:r>
      <w:r w:rsidR="00616759" w:rsidRPr="007831A0">
        <w:rPr>
          <w:rFonts w:ascii="Arial" w:hAnsi="Arial"/>
          <w:sz w:val="20"/>
        </w:rPr>
        <w:t xml:space="preserve">suspected </w:t>
      </w:r>
      <w:r w:rsidR="00760E87" w:rsidRPr="007831A0">
        <w:rPr>
          <w:rFonts w:ascii="Arial" w:hAnsi="Arial"/>
          <w:sz w:val="20"/>
        </w:rPr>
        <w:t xml:space="preserve">adverse drug reactions, occurring in South Africa with any </w:t>
      </w:r>
      <w:r w:rsidR="00727472">
        <w:rPr>
          <w:rFonts w:ascii="Arial" w:hAnsi="Arial"/>
          <w:sz w:val="20"/>
        </w:rPr>
        <w:t xml:space="preserve">old or </w:t>
      </w:r>
      <w:r w:rsidR="00D121E5" w:rsidRPr="004B3A00">
        <w:rPr>
          <w:rFonts w:ascii="Arial" w:hAnsi="Arial"/>
          <w:sz w:val="20"/>
        </w:rPr>
        <w:t>registered</w:t>
      </w:r>
      <w:r w:rsidR="00D121E5">
        <w:rPr>
          <w:rFonts w:ascii="Arial" w:hAnsi="Arial"/>
          <w:sz w:val="20"/>
        </w:rPr>
        <w:t xml:space="preserve"> </w:t>
      </w:r>
      <w:r w:rsidR="00760E87" w:rsidRPr="007831A0">
        <w:rPr>
          <w:rFonts w:ascii="Arial" w:hAnsi="Arial"/>
          <w:sz w:val="20"/>
        </w:rPr>
        <w:t>medicine,</w:t>
      </w:r>
      <w:r w:rsidR="00760E87" w:rsidRPr="00AB6897">
        <w:rPr>
          <w:rFonts w:ascii="Arial" w:hAnsi="Arial"/>
          <w:color w:val="1F497D" w:themeColor="text2"/>
          <w:sz w:val="20"/>
        </w:rPr>
        <w:t xml:space="preserve"> </w:t>
      </w:r>
      <w:r w:rsidR="00330989" w:rsidRPr="004B3A00">
        <w:rPr>
          <w:rFonts w:ascii="Arial" w:hAnsi="Arial"/>
          <w:sz w:val="20"/>
        </w:rPr>
        <w:t>are not required to be routinely reported</w:t>
      </w:r>
      <w:r w:rsidR="00727472">
        <w:rPr>
          <w:rFonts w:ascii="Arial" w:hAnsi="Arial"/>
          <w:sz w:val="20"/>
        </w:rPr>
        <w:t xml:space="preserve"> to the Authority</w:t>
      </w:r>
      <w:r w:rsidR="00330989" w:rsidRPr="004B3A00">
        <w:rPr>
          <w:rFonts w:ascii="Arial" w:hAnsi="Arial"/>
          <w:sz w:val="20"/>
        </w:rPr>
        <w:t xml:space="preserve">. However, they must be presented as a cumulative table in a </w:t>
      </w:r>
      <w:r w:rsidR="00F120B9" w:rsidRPr="004B3A00">
        <w:rPr>
          <w:rFonts w:ascii="Arial" w:hAnsi="Arial"/>
          <w:sz w:val="20"/>
        </w:rPr>
        <w:t>summary report</w:t>
      </w:r>
      <w:r w:rsidR="001E1A9B" w:rsidRPr="004B3A00">
        <w:rPr>
          <w:rFonts w:ascii="Arial" w:hAnsi="Arial"/>
          <w:sz w:val="20"/>
        </w:rPr>
        <w:t xml:space="preserve"> and submitted when requested as stipulated under 5.6.1.</w:t>
      </w:r>
    </w:p>
    <w:p w:rsidR="00DF215D" w:rsidRPr="00771CF5" w:rsidRDefault="00DF215D" w:rsidP="007831A0">
      <w:pPr>
        <w:widowControl/>
        <w:tabs>
          <w:tab w:val="left" w:pos="1247"/>
        </w:tabs>
        <w:suppressAutoHyphens/>
        <w:spacing w:before="80" w:line="280" w:lineRule="atLeast"/>
        <w:ind w:left="1247" w:hanging="567"/>
        <w:jc w:val="both"/>
        <w:rPr>
          <w:rFonts w:ascii="Arial" w:hAnsi="Arial"/>
          <w:sz w:val="20"/>
        </w:rPr>
      </w:pPr>
      <w:r w:rsidRPr="004B3A00">
        <w:rPr>
          <w:rFonts w:ascii="Arial" w:hAnsi="Arial"/>
          <w:sz w:val="20"/>
        </w:rPr>
        <w:t>(iii)</w:t>
      </w:r>
      <w:r w:rsidRPr="004B3A00">
        <w:rPr>
          <w:rFonts w:ascii="Arial" w:hAnsi="Arial"/>
          <w:sz w:val="20"/>
        </w:rPr>
        <w:tab/>
      </w:r>
      <w:r w:rsidRPr="00771CF5">
        <w:rPr>
          <w:rFonts w:ascii="Arial" w:hAnsi="Arial"/>
          <w:sz w:val="20"/>
        </w:rPr>
        <w:t xml:space="preserve">The clock for </w:t>
      </w:r>
      <w:r w:rsidR="00E8157A" w:rsidRPr="00771CF5">
        <w:rPr>
          <w:rFonts w:ascii="Arial" w:hAnsi="Arial"/>
          <w:sz w:val="20"/>
        </w:rPr>
        <w:t xml:space="preserve">submission of </w:t>
      </w:r>
      <w:r w:rsidRPr="00771CF5">
        <w:rPr>
          <w:rFonts w:ascii="Arial" w:hAnsi="Arial"/>
          <w:sz w:val="20"/>
        </w:rPr>
        <w:t>serious adverse drug reactions starts on the day that t</w:t>
      </w:r>
      <w:r w:rsidR="007540EB" w:rsidRPr="00771CF5">
        <w:rPr>
          <w:rFonts w:ascii="Arial" w:hAnsi="Arial"/>
          <w:sz w:val="20"/>
        </w:rPr>
        <w:t>he four minimum data elements (D</w:t>
      </w:r>
      <w:r w:rsidRPr="00771CF5">
        <w:rPr>
          <w:rFonts w:ascii="Arial" w:hAnsi="Arial"/>
          <w:sz w:val="20"/>
        </w:rPr>
        <w:t xml:space="preserve">ay 0) in relation to the adverse drug reaction report are received by any of the </w:t>
      </w:r>
      <w:r w:rsidR="00B65EE3" w:rsidRPr="00771CF5">
        <w:rPr>
          <w:rFonts w:ascii="Arial" w:hAnsi="Arial"/>
          <w:sz w:val="20"/>
        </w:rPr>
        <w:t>holder/</w:t>
      </w:r>
      <w:r w:rsidRPr="00771CF5">
        <w:rPr>
          <w:rFonts w:ascii="Arial" w:hAnsi="Arial"/>
          <w:sz w:val="20"/>
        </w:rPr>
        <w:t>applicant's personnel, including sales</w:t>
      </w:r>
      <w:r w:rsidR="00DA3D4B" w:rsidRPr="00771CF5">
        <w:rPr>
          <w:rFonts w:ascii="Arial" w:hAnsi="Arial"/>
          <w:sz w:val="20"/>
        </w:rPr>
        <w:t xml:space="preserve"> representatives</w:t>
      </w:r>
      <w:r w:rsidRPr="00771CF5">
        <w:rPr>
          <w:rFonts w:ascii="Arial" w:hAnsi="Arial"/>
          <w:sz w:val="20"/>
        </w:rPr>
        <w:t>.</w:t>
      </w:r>
      <w:r w:rsidR="00DA3D4B" w:rsidRPr="00771CF5">
        <w:rPr>
          <w:rFonts w:ascii="Arial" w:hAnsi="Arial"/>
          <w:sz w:val="20"/>
        </w:rPr>
        <w:t xml:space="preserve"> </w:t>
      </w:r>
      <w:r w:rsidRPr="00771CF5">
        <w:rPr>
          <w:rFonts w:ascii="Arial" w:hAnsi="Arial"/>
          <w:sz w:val="20"/>
        </w:rPr>
        <w:t xml:space="preserve"> Where the applicant has entered i</w:t>
      </w:r>
      <w:r w:rsidR="004B3A00" w:rsidRPr="00771CF5">
        <w:rPr>
          <w:rFonts w:ascii="Arial" w:hAnsi="Arial"/>
          <w:sz w:val="20"/>
        </w:rPr>
        <w:t>nto a relationship with</w:t>
      </w:r>
      <w:r w:rsidR="00B65EE3" w:rsidRPr="00771CF5">
        <w:rPr>
          <w:rFonts w:ascii="Arial" w:hAnsi="Arial"/>
          <w:sz w:val="20"/>
        </w:rPr>
        <w:t xml:space="preserve"> another</w:t>
      </w:r>
      <w:r w:rsidRPr="00771CF5">
        <w:rPr>
          <w:rFonts w:ascii="Arial" w:hAnsi="Arial"/>
          <w:sz w:val="20"/>
        </w:rPr>
        <w:t xml:space="preserve"> company for the marketing of, or resear</w:t>
      </w:r>
      <w:r w:rsidR="007540EB" w:rsidRPr="00771CF5">
        <w:rPr>
          <w:rFonts w:ascii="Arial" w:hAnsi="Arial"/>
          <w:sz w:val="20"/>
        </w:rPr>
        <w:t>ch on the suspected medicines, D</w:t>
      </w:r>
      <w:r w:rsidRPr="00771CF5">
        <w:rPr>
          <w:rFonts w:ascii="Arial" w:hAnsi="Arial"/>
          <w:sz w:val="20"/>
        </w:rPr>
        <w:t xml:space="preserve">ay 0 is as soon as any personnel of the </w:t>
      </w:r>
      <w:r w:rsidR="00B65EE3" w:rsidRPr="00771CF5">
        <w:rPr>
          <w:rFonts w:ascii="Arial" w:hAnsi="Arial"/>
          <w:sz w:val="20"/>
        </w:rPr>
        <w:t xml:space="preserve">holder or applicant </w:t>
      </w:r>
      <w:r w:rsidRPr="00771CF5">
        <w:rPr>
          <w:rFonts w:ascii="Arial" w:hAnsi="Arial"/>
          <w:sz w:val="20"/>
        </w:rPr>
        <w:t xml:space="preserve">receives the </w:t>
      </w:r>
      <w:r w:rsidR="00771CF5" w:rsidRPr="00771CF5">
        <w:rPr>
          <w:rFonts w:ascii="Arial" w:hAnsi="Arial"/>
          <w:sz w:val="20"/>
        </w:rPr>
        <w:t xml:space="preserve">four </w:t>
      </w:r>
      <w:r w:rsidRPr="00771CF5">
        <w:rPr>
          <w:rFonts w:ascii="Arial" w:hAnsi="Arial"/>
          <w:sz w:val="20"/>
        </w:rPr>
        <w:t xml:space="preserve">minimum </w:t>
      </w:r>
      <w:r w:rsidR="00B65EE3" w:rsidRPr="00771CF5">
        <w:rPr>
          <w:rFonts w:ascii="Arial" w:hAnsi="Arial"/>
          <w:sz w:val="20"/>
        </w:rPr>
        <w:t>data elements</w:t>
      </w:r>
      <w:r w:rsidRPr="00771CF5">
        <w:rPr>
          <w:rFonts w:ascii="Arial" w:hAnsi="Arial"/>
          <w:sz w:val="20"/>
        </w:rPr>
        <w:t xml:space="preserve">. </w:t>
      </w:r>
      <w:r w:rsidR="007540EB" w:rsidRPr="00771CF5">
        <w:rPr>
          <w:rFonts w:ascii="Arial" w:hAnsi="Arial"/>
          <w:sz w:val="20"/>
        </w:rPr>
        <w:t xml:space="preserve">The timeframe for regulatory submission should be no longer than 15 calendar days from </w:t>
      </w:r>
      <w:r w:rsidR="00B65EE3" w:rsidRPr="00771CF5">
        <w:rPr>
          <w:rFonts w:ascii="Arial" w:hAnsi="Arial"/>
          <w:sz w:val="20"/>
        </w:rPr>
        <w:t xml:space="preserve">the </w:t>
      </w:r>
      <w:r w:rsidR="007540EB" w:rsidRPr="00771CF5">
        <w:rPr>
          <w:rFonts w:ascii="Arial" w:hAnsi="Arial"/>
          <w:sz w:val="20"/>
        </w:rPr>
        <w:t xml:space="preserve">first receipt </w:t>
      </w:r>
      <w:r w:rsidR="00B65EE3" w:rsidRPr="00771CF5">
        <w:rPr>
          <w:rFonts w:ascii="Arial" w:hAnsi="Arial"/>
          <w:sz w:val="20"/>
        </w:rPr>
        <w:t xml:space="preserve">of the </w:t>
      </w:r>
      <w:r w:rsidR="00771CF5" w:rsidRPr="00771CF5">
        <w:rPr>
          <w:rFonts w:ascii="Arial" w:hAnsi="Arial"/>
          <w:sz w:val="20"/>
        </w:rPr>
        <w:t xml:space="preserve">four </w:t>
      </w:r>
      <w:r w:rsidR="00B65EE3" w:rsidRPr="00771CF5">
        <w:rPr>
          <w:rFonts w:ascii="Arial" w:hAnsi="Arial"/>
          <w:sz w:val="20"/>
        </w:rPr>
        <w:t xml:space="preserve">minimum data elements </w:t>
      </w:r>
      <w:r w:rsidR="007540EB" w:rsidRPr="00771CF5">
        <w:rPr>
          <w:rFonts w:ascii="Arial" w:hAnsi="Arial"/>
          <w:sz w:val="20"/>
        </w:rPr>
        <w:t xml:space="preserve">by the </w:t>
      </w:r>
      <w:r w:rsidR="008442D3" w:rsidRPr="00771CF5">
        <w:rPr>
          <w:rFonts w:ascii="Arial" w:hAnsi="Arial"/>
          <w:sz w:val="20"/>
        </w:rPr>
        <w:t>Holder</w:t>
      </w:r>
      <w:r w:rsidR="00B65EE3" w:rsidRPr="00771CF5">
        <w:rPr>
          <w:rFonts w:ascii="Arial" w:hAnsi="Arial"/>
          <w:sz w:val="20"/>
        </w:rPr>
        <w:t>/Applicant</w:t>
      </w:r>
      <w:r w:rsidR="007540EB" w:rsidRPr="00771CF5">
        <w:rPr>
          <w:rFonts w:ascii="Arial" w:hAnsi="Arial"/>
          <w:sz w:val="20"/>
        </w:rPr>
        <w:t>.</w:t>
      </w:r>
    </w:p>
    <w:p w:rsidR="007540EB" w:rsidRPr="004B3A00" w:rsidRDefault="007540EB" w:rsidP="007831A0">
      <w:pPr>
        <w:widowControl/>
        <w:tabs>
          <w:tab w:val="left" w:pos="1247"/>
        </w:tabs>
        <w:suppressAutoHyphens/>
        <w:spacing w:before="80" w:line="280" w:lineRule="atLeast"/>
        <w:ind w:left="1247" w:hanging="567"/>
        <w:jc w:val="both"/>
        <w:rPr>
          <w:rFonts w:ascii="Arial" w:hAnsi="Arial"/>
          <w:sz w:val="20"/>
        </w:rPr>
      </w:pPr>
      <w:r w:rsidRPr="004B3A00">
        <w:rPr>
          <w:rFonts w:ascii="Arial" w:hAnsi="Arial"/>
          <w:sz w:val="20"/>
        </w:rPr>
        <w:t>(iv)</w:t>
      </w:r>
      <w:r w:rsidRPr="004B3A00">
        <w:rPr>
          <w:rFonts w:ascii="Arial" w:hAnsi="Arial"/>
          <w:sz w:val="20"/>
        </w:rPr>
        <w:tab/>
      </w:r>
      <w:r w:rsidR="00794AD1" w:rsidRPr="004B3A00">
        <w:rPr>
          <w:rFonts w:ascii="Arial" w:hAnsi="Arial"/>
          <w:sz w:val="20"/>
        </w:rPr>
        <w:t xml:space="preserve">The reporting time clock for follow-up information restarts when the </w:t>
      </w:r>
      <w:r w:rsidR="008442D3" w:rsidRPr="004B3A00">
        <w:rPr>
          <w:rFonts w:ascii="Arial" w:hAnsi="Arial"/>
          <w:sz w:val="20"/>
        </w:rPr>
        <w:t>Holder</w:t>
      </w:r>
      <w:r w:rsidR="00B65EE3" w:rsidRPr="004B3A00">
        <w:rPr>
          <w:rFonts w:ascii="Arial" w:hAnsi="Arial"/>
          <w:sz w:val="20"/>
        </w:rPr>
        <w:t>/Applicant</w:t>
      </w:r>
      <w:r w:rsidR="00794AD1" w:rsidRPr="004B3A00">
        <w:rPr>
          <w:rFonts w:ascii="Arial" w:hAnsi="Arial"/>
          <w:sz w:val="20"/>
        </w:rPr>
        <w:t xml:space="preserve"> receive additional clinical or medically relevant information for a previously reported serious adverse drug reaction.</w:t>
      </w:r>
      <w:r w:rsidR="00935D46" w:rsidRPr="004B3A00">
        <w:rPr>
          <w:rFonts w:ascii="Arial" w:hAnsi="Arial"/>
          <w:sz w:val="20"/>
        </w:rPr>
        <w:t xml:space="preserve"> This information must be reported as soon as possible and no later than 15 calendar days after the </w:t>
      </w:r>
      <w:r w:rsidR="008442D3" w:rsidRPr="004B3A00">
        <w:rPr>
          <w:rFonts w:ascii="Arial" w:hAnsi="Arial"/>
          <w:sz w:val="20"/>
        </w:rPr>
        <w:t>Holder</w:t>
      </w:r>
      <w:r w:rsidR="00B65EE3" w:rsidRPr="004B3A00">
        <w:rPr>
          <w:rFonts w:ascii="Arial" w:hAnsi="Arial"/>
          <w:sz w:val="20"/>
        </w:rPr>
        <w:t>/</w:t>
      </w:r>
      <w:r w:rsidR="003C1F7F" w:rsidRPr="004B3A00">
        <w:rPr>
          <w:rFonts w:ascii="Arial" w:hAnsi="Arial"/>
          <w:sz w:val="20"/>
        </w:rPr>
        <w:t>Applicant receive</w:t>
      </w:r>
      <w:r w:rsidR="00935D46" w:rsidRPr="004B3A00">
        <w:rPr>
          <w:rFonts w:ascii="Arial" w:hAnsi="Arial"/>
          <w:sz w:val="20"/>
        </w:rPr>
        <w:t xml:space="preserve"> the additional information</w:t>
      </w:r>
      <w:r w:rsidR="004B3A00" w:rsidRPr="004B3A00">
        <w:rPr>
          <w:rFonts w:ascii="Arial" w:hAnsi="Arial"/>
          <w:sz w:val="20"/>
        </w:rPr>
        <w:t>.</w:t>
      </w:r>
    </w:p>
    <w:p w:rsidR="00760E87" w:rsidRPr="007831A0" w:rsidRDefault="00A64F63" w:rsidP="0056753E">
      <w:pPr>
        <w:pStyle w:val="Heading2"/>
      </w:pPr>
      <w:bookmarkStart w:id="58" w:name="_Toc396005417"/>
      <w:bookmarkStart w:id="59" w:name="_Toc5282787"/>
      <w:r w:rsidRPr="007831A0">
        <w:lastRenderedPageBreak/>
        <w:t>4</w:t>
      </w:r>
      <w:r w:rsidR="00760E87" w:rsidRPr="007831A0">
        <w:t>.2</w:t>
      </w:r>
      <w:r w:rsidR="00760E87" w:rsidRPr="007831A0">
        <w:tab/>
        <w:t>Time frames for reactions occurring outside South Africa</w:t>
      </w:r>
      <w:bookmarkEnd w:id="58"/>
      <w:bookmarkEnd w:id="59"/>
    </w:p>
    <w:p w:rsidR="00760E87" w:rsidRPr="007831A0" w:rsidRDefault="00760E87" w:rsidP="007831A0">
      <w:pPr>
        <w:widowControl/>
        <w:tabs>
          <w:tab w:val="left" w:pos="1247"/>
        </w:tabs>
        <w:suppressAutoHyphens/>
        <w:spacing w:before="80" w:line="280" w:lineRule="atLeast"/>
        <w:ind w:left="1247" w:hanging="567"/>
        <w:jc w:val="both"/>
        <w:rPr>
          <w:rFonts w:ascii="Arial" w:hAnsi="Arial"/>
          <w:sz w:val="20"/>
        </w:rPr>
      </w:pPr>
      <w:r w:rsidRPr="007831A0">
        <w:rPr>
          <w:rFonts w:ascii="Arial" w:hAnsi="Arial"/>
          <w:sz w:val="20"/>
        </w:rPr>
        <w:t>(</w:t>
      </w:r>
      <w:proofErr w:type="spellStart"/>
      <w:r w:rsidRPr="007831A0">
        <w:rPr>
          <w:rFonts w:ascii="Arial" w:hAnsi="Arial"/>
          <w:sz w:val="20"/>
        </w:rPr>
        <w:t>i</w:t>
      </w:r>
      <w:proofErr w:type="spellEnd"/>
      <w:r w:rsidRPr="007831A0">
        <w:rPr>
          <w:rFonts w:ascii="Arial" w:hAnsi="Arial"/>
          <w:sz w:val="20"/>
        </w:rPr>
        <w:t>)</w:t>
      </w:r>
      <w:r w:rsidRPr="007831A0">
        <w:rPr>
          <w:rFonts w:ascii="Arial" w:hAnsi="Arial"/>
          <w:sz w:val="20"/>
        </w:rPr>
        <w:tab/>
        <w:t xml:space="preserve">Foreign individual case reports should not be forwarded to </w:t>
      </w:r>
      <w:r w:rsidR="008442D3" w:rsidRPr="008B6B37">
        <w:rPr>
          <w:rFonts w:ascii="Arial" w:hAnsi="Arial"/>
          <w:sz w:val="20"/>
        </w:rPr>
        <w:t xml:space="preserve">the </w:t>
      </w:r>
      <w:r w:rsidR="008442D3" w:rsidRPr="007E2D05">
        <w:rPr>
          <w:rFonts w:ascii="Arial" w:hAnsi="Arial"/>
          <w:sz w:val="20"/>
        </w:rPr>
        <w:t>Authority</w:t>
      </w:r>
      <w:r w:rsidR="00D579AC">
        <w:rPr>
          <w:rFonts w:ascii="Arial" w:hAnsi="Arial"/>
          <w:sz w:val="20"/>
        </w:rPr>
        <w:t xml:space="preserve"> </w:t>
      </w:r>
      <w:r w:rsidRPr="007831A0">
        <w:rPr>
          <w:rFonts w:ascii="Arial" w:hAnsi="Arial"/>
          <w:sz w:val="20"/>
        </w:rPr>
        <w:t>on a routine basis, but should be reported in the context of a s</w:t>
      </w:r>
      <w:r w:rsidR="00FD51CC">
        <w:rPr>
          <w:rFonts w:ascii="Arial" w:hAnsi="Arial"/>
          <w:sz w:val="20"/>
        </w:rPr>
        <w:t>ignificant</w:t>
      </w:r>
      <w:r w:rsidRPr="007831A0">
        <w:rPr>
          <w:rFonts w:ascii="Arial" w:hAnsi="Arial"/>
          <w:sz w:val="20"/>
        </w:rPr>
        <w:t xml:space="preserve"> safety issue or </w:t>
      </w:r>
      <w:r w:rsidR="006A52FC" w:rsidRPr="007831A0">
        <w:rPr>
          <w:rFonts w:ascii="Arial" w:hAnsi="Arial"/>
          <w:sz w:val="20"/>
        </w:rPr>
        <w:t xml:space="preserve">in response to a </w:t>
      </w:r>
      <w:r w:rsidRPr="007831A0">
        <w:rPr>
          <w:rFonts w:ascii="Arial" w:hAnsi="Arial"/>
          <w:sz w:val="20"/>
        </w:rPr>
        <w:t xml:space="preserve">specific request </w:t>
      </w:r>
      <w:r w:rsidRPr="008B6B37">
        <w:rPr>
          <w:rFonts w:ascii="Arial" w:hAnsi="Arial"/>
          <w:sz w:val="20"/>
        </w:rPr>
        <w:t xml:space="preserve">by </w:t>
      </w:r>
      <w:r w:rsidR="008442D3" w:rsidRPr="008B6B37">
        <w:rPr>
          <w:rFonts w:ascii="Arial" w:hAnsi="Arial"/>
          <w:sz w:val="20"/>
        </w:rPr>
        <w:t xml:space="preserve">the </w:t>
      </w:r>
      <w:r w:rsidR="008442D3" w:rsidRPr="007E2D05">
        <w:rPr>
          <w:rFonts w:ascii="Arial" w:hAnsi="Arial"/>
          <w:sz w:val="20"/>
        </w:rPr>
        <w:t>Authority</w:t>
      </w:r>
      <w:r w:rsidRPr="00AB6897">
        <w:rPr>
          <w:rFonts w:ascii="Arial" w:hAnsi="Arial"/>
          <w:color w:val="1F497D" w:themeColor="text2"/>
          <w:sz w:val="20"/>
        </w:rPr>
        <w:t xml:space="preserve">. </w:t>
      </w:r>
    </w:p>
    <w:p w:rsidR="00760E87" w:rsidRPr="007831A0" w:rsidRDefault="00760E87" w:rsidP="007831A0">
      <w:pPr>
        <w:widowControl/>
        <w:tabs>
          <w:tab w:val="left" w:pos="1247"/>
        </w:tabs>
        <w:suppressAutoHyphens/>
        <w:spacing w:before="80" w:line="280" w:lineRule="atLeast"/>
        <w:ind w:left="1247" w:hanging="567"/>
        <w:jc w:val="both"/>
        <w:rPr>
          <w:rFonts w:ascii="Arial" w:hAnsi="Arial"/>
          <w:sz w:val="20"/>
        </w:rPr>
      </w:pPr>
      <w:r w:rsidRPr="007831A0">
        <w:rPr>
          <w:rFonts w:ascii="Arial" w:hAnsi="Arial"/>
          <w:sz w:val="20"/>
        </w:rPr>
        <w:t>(ii)</w:t>
      </w:r>
      <w:r w:rsidRPr="007831A0">
        <w:rPr>
          <w:rFonts w:ascii="Arial" w:hAnsi="Arial"/>
          <w:sz w:val="20"/>
        </w:rPr>
        <w:tab/>
        <w:t>The</w:t>
      </w:r>
      <w:r w:rsidR="00D579AC">
        <w:rPr>
          <w:rFonts w:ascii="Arial" w:hAnsi="Arial"/>
          <w:sz w:val="20"/>
        </w:rPr>
        <w:t xml:space="preserve"> </w:t>
      </w:r>
      <w:r w:rsidR="002C5C91" w:rsidRPr="007831A0">
        <w:rPr>
          <w:rFonts w:ascii="Arial" w:hAnsi="Arial"/>
          <w:sz w:val="20"/>
        </w:rPr>
        <w:t xml:space="preserve">holder or </w:t>
      </w:r>
      <w:r w:rsidR="004E1C55" w:rsidRPr="007831A0">
        <w:rPr>
          <w:rFonts w:ascii="Arial" w:hAnsi="Arial"/>
          <w:sz w:val="20"/>
        </w:rPr>
        <w:t>applicant</w:t>
      </w:r>
      <w:r w:rsidR="00D579AC">
        <w:rPr>
          <w:rFonts w:ascii="Arial" w:hAnsi="Arial"/>
          <w:sz w:val="20"/>
        </w:rPr>
        <w:t xml:space="preserve"> </w:t>
      </w:r>
      <w:r w:rsidRPr="007831A0">
        <w:rPr>
          <w:rFonts w:ascii="Arial" w:hAnsi="Arial"/>
          <w:sz w:val="20"/>
        </w:rPr>
        <w:t xml:space="preserve">should advise </w:t>
      </w:r>
      <w:r w:rsidR="008442D3" w:rsidRPr="008B6B37">
        <w:rPr>
          <w:rFonts w:ascii="Arial" w:hAnsi="Arial"/>
          <w:sz w:val="20"/>
        </w:rPr>
        <w:t>the Authority</w:t>
      </w:r>
      <w:r w:rsidR="00D579AC">
        <w:rPr>
          <w:rFonts w:ascii="Arial" w:hAnsi="Arial"/>
          <w:sz w:val="20"/>
        </w:rPr>
        <w:t xml:space="preserve"> </w:t>
      </w:r>
      <w:r w:rsidRPr="007831A0">
        <w:rPr>
          <w:rFonts w:ascii="Arial" w:hAnsi="Arial"/>
          <w:sz w:val="20"/>
        </w:rPr>
        <w:t xml:space="preserve">of any action relating to safety that has been taken by a </w:t>
      </w:r>
      <w:r w:rsidR="006A52FC" w:rsidRPr="007831A0">
        <w:rPr>
          <w:rFonts w:ascii="Arial" w:hAnsi="Arial"/>
          <w:sz w:val="20"/>
        </w:rPr>
        <w:t xml:space="preserve">medicines regulatory </w:t>
      </w:r>
      <w:r w:rsidRPr="007831A0">
        <w:rPr>
          <w:rFonts w:ascii="Arial" w:hAnsi="Arial"/>
          <w:sz w:val="20"/>
        </w:rPr>
        <w:t>agency</w:t>
      </w:r>
      <w:r w:rsidR="001C3DBE" w:rsidRPr="007831A0">
        <w:rPr>
          <w:rFonts w:ascii="Arial" w:hAnsi="Arial"/>
          <w:sz w:val="20"/>
        </w:rPr>
        <w:t xml:space="preserve"> in another country</w:t>
      </w:r>
      <w:r w:rsidRPr="007831A0">
        <w:rPr>
          <w:rFonts w:ascii="Arial" w:hAnsi="Arial"/>
          <w:sz w:val="20"/>
        </w:rPr>
        <w:t xml:space="preserve">, including the basis for such action, within </w:t>
      </w:r>
      <w:r w:rsidR="00604DD9" w:rsidRPr="00250E43">
        <w:rPr>
          <w:rFonts w:ascii="Arial" w:hAnsi="Arial"/>
          <w:sz w:val="20"/>
        </w:rPr>
        <w:t>three</w:t>
      </w:r>
      <w:r w:rsidRPr="00250E43">
        <w:rPr>
          <w:rFonts w:ascii="Arial" w:hAnsi="Arial"/>
          <w:sz w:val="20"/>
        </w:rPr>
        <w:t xml:space="preserve"> (</w:t>
      </w:r>
      <w:r w:rsidR="003C1F7F" w:rsidRPr="00250E43">
        <w:rPr>
          <w:rFonts w:ascii="Arial" w:hAnsi="Arial"/>
          <w:sz w:val="20"/>
        </w:rPr>
        <w:t>3)</w:t>
      </w:r>
      <w:r w:rsidR="003C1F7F" w:rsidRPr="007831A0">
        <w:rPr>
          <w:rFonts w:ascii="Arial" w:hAnsi="Arial"/>
          <w:sz w:val="20"/>
        </w:rPr>
        <w:t xml:space="preserve"> calendar</w:t>
      </w:r>
      <w:r w:rsidR="00C04C04" w:rsidRPr="007831A0">
        <w:rPr>
          <w:rFonts w:ascii="Arial" w:hAnsi="Arial"/>
          <w:sz w:val="20"/>
        </w:rPr>
        <w:t xml:space="preserve"> </w:t>
      </w:r>
      <w:r w:rsidRPr="007831A0">
        <w:rPr>
          <w:rFonts w:ascii="Arial" w:hAnsi="Arial"/>
          <w:sz w:val="20"/>
        </w:rPr>
        <w:t>days of first knowledge</w:t>
      </w:r>
      <w:r w:rsidR="006A52FC" w:rsidRPr="007831A0">
        <w:rPr>
          <w:rFonts w:ascii="Arial" w:hAnsi="Arial"/>
          <w:sz w:val="20"/>
        </w:rPr>
        <w:t xml:space="preserve"> of such action</w:t>
      </w:r>
      <w:r w:rsidRPr="007831A0">
        <w:rPr>
          <w:rFonts w:ascii="Arial" w:hAnsi="Arial"/>
          <w:sz w:val="20"/>
        </w:rPr>
        <w:t>.</w:t>
      </w:r>
    </w:p>
    <w:p w:rsidR="00760E87" w:rsidRPr="007831A0" w:rsidRDefault="00A64F63" w:rsidP="0056753E">
      <w:pPr>
        <w:pStyle w:val="Heading2"/>
      </w:pPr>
      <w:bookmarkStart w:id="60" w:name="_Toc396005418"/>
      <w:bookmarkStart w:id="61" w:name="_Toc5282788"/>
      <w:r w:rsidRPr="007831A0">
        <w:rPr>
          <w:lang w:val="en-US"/>
        </w:rPr>
        <w:t>4</w:t>
      </w:r>
      <w:r w:rsidR="00760E87" w:rsidRPr="007831A0">
        <w:rPr>
          <w:lang w:val="en-US"/>
        </w:rPr>
        <w:t>.3</w:t>
      </w:r>
      <w:r w:rsidR="00760E87" w:rsidRPr="007831A0">
        <w:rPr>
          <w:lang w:val="en-US"/>
        </w:rPr>
        <w:tab/>
      </w:r>
      <w:r w:rsidR="00760E87" w:rsidRPr="007831A0">
        <w:t>Periodic Safety Update Reports</w:t>
      </w:r>
      <w:bookmarkEnd w:id="60"/>
      <w:r w:rsidR="00E67628" w:rsidRPr="007831A0">
        <w:t>/ Periodic Benefit-Risk Evaluation Reports</w:t>
      </w:r>
      <w:bookmarkEnd w:id="61"/>
    </w:p>
    <w:p w:rsidR="00760E87" w:rsidRPr="007831A0" w:rsidRDefault="00760E87" w:rsidP="007831A0">
      <w:pPr>
        <w:widowControl/>
        <w:tabs>
          <w:tab w:val="left" w:pos="1247"/>
        </w:tabs>
        <w:suppressAutoHyphens/>
        <w:spacing w:before="80" w:line="280" w:lineRule="atLeast"/>
        <w:ind w:left="1247" w:hanging="567"/>
        <w:jc w:val="both"/>
        <w:rPr>
          <w:rFonts w:ascii="Arial" w:hAnsi="Arial"/>
          <w:sz w:val="20"/>
        </w:rPr>
      </w:pPr>
      <w:r w:rsidRPr="007831A0">
        <w:rPr>
          <w:rFonts w:ascii="Arial" w:hAnsi="Arial"/>
          <w:sz w:val="20"/>
          <w:lang w:val="en-US"/>
        </w:rPr>
        <w:t>(</w:t>
      </w:r>
      <w:proofErr w:type="spellStart"/>
      <w:r w:rsidRPr="007831A0">
        <w:rPr>
          <w:rFonts w:ascii="Arial" w:hAnsi="Arial"/>
          <w:sz w:val="20"/>
          <w:lang w:val="en-US"/>
        </w:rPr>
        <w:t>i</w:t>
      </w:r>
      <w:proofErr w:type="spellEnd"/>
      <w:r w:rsidRPr="007831A0">
        <w:rPr>
          <w:rFonts w:ascii="Arial" w:hAnsi="Arial"/>
          <w:sz w:val="20"/>
          <w:lang w:val="en-US"/>
        </w:rPr>
        <w:t>)</w:t>
      </w:r>
      <w:r w:rsidRPr="007831A0">
        <w:rPr>
          <w:rFonts w:ascii="Arial" w:hAnsi="Arial"/>
          <w:sz w:val="20"/>
          <w:lang w:val="en-US"/>
        </w:rPr>
        <w:tab/>
      </w:r>
      <w:r w:rsidRPr="007831A0">
        <w:rPr>
          <w:rFonts w:ascii="Arial" w:hAnsi="Arial"/>
          <w:sz w:val="20"/>
        </w:rPr>
        <w:t>PSURs</w:t>
      </w:r>
      <w:r w:rsidR="00A40C9C" w:rsidRPr="007831A0">
        <w:rPr>
          <w:rFonts w:ascii="Arial" w:hAnsi="Arial"/>
          <w:sz w:val="20"/>
        </w:rPr>
        <w:t>/PBRERs</w:t>
      </w:r>
      <w:r w:rsidRPr="007831A0">
        <w:rPr>
          <w:rFonts w:ascii="Arial" w:hAnsi="Arial"/>
          <w:sz w:val="20"/>
        </w:rPr>
        <w:t xml:space="preserve"> should </w:t>
      </w:r>
      <w:r w:rsidRPr="007831A0">
        <w:rPr>
          <w:rFonts w:ascii="Arial" w:hAnsi="Arial"/>
          <w:b/>
          <w:sz w:val="20"/>
        </w:rPr>
        <w:t xml:space="preserve">only </w:t>
      </w:r>
      <w:r w:rsidRPr="007831A0">
        <w:rPr>
          <w:rFonts w:ascii="Arial" w:hAnsi="Arial"/>
          <w:sz w:val="20"/>
        </w:rPr>
        <w:t>be submitted in the following situations:</w:t>
      </w:r>
    </w:p>
    <w:p w:rsidR="00AC2D5C" w:rsidRPr="007831A0" w:rsidRDefault="00DE3A6F" w:rsidP="007831A0">
      <w:pPr>
        <w:pStyle w:val="ListParagraph"/>
        <w:numPr>
          <w:ilvl w:val="0"/>
          <w:numId w:val="31"/>
        </w:numPr>
        <w:tabs>
          <w:tab w:val="left" w:pos="1588"/>
        </w:tabs>
        <w:suppressAutoHyphens/>
        <w:spacing w:before="40" w:line="260" w:lineRule="atLeast"/>
        <w:ind w:left="1587" w:hanging="340"/>
        <w:jc w:val="both"/>
        <w:rPr>
          <w:rFonts w:ascii="Arial" w:hAnsi="Arial"/>
          <w:sz w:val="20"/>
        </w:rPr>
      </w:pPr>
      <w:r w:rsidRPr="007831A0">
        <w:rPr>
          <w:rFonts w:ascii="Arial" w:hAnsi="Arial"/>
          <w:sz w:val="20"/>
        </w:rPr>
        <w:t xml:space="preserve">Whenever requested by </w:t>
      </w:r>
      <w:r w:rsidR="008442D3" w:rsidRPr="008B6B37">
        <w:rPr>
          <w:rFonts w:ascii="Arial" w:hAnsi="Arial"/>
          <w:sz w:val="20"/>
        </w:rPr>
        <w:t xml:space="preserve">the </w:t>
      </w:r>
      <w:r w:rsidR="008442D3" w:rsidRPr="007E2D05">
        <w:rPr>
          <w:rFonts w:ascii="Arial" w:hAnsi="Arial"/>
          <w:sz w:val="20"/>
        </w:rPr>
        <w:t>Authority</w:t>
      </w:r>
      <w:r w:rsidRPr="007831A0">
        <w:rPr>
          <w:rFonts w:ascii="Arial" w:hAnsi="Arial"/>
          <w:sz w:val="20"/>
        </w:rPr>
        <w:t xml:space="preserve">.  </w:t>
      </w:r>
    </w:p>
    <w:p w:rsidR="008442D3" w:rsidRPr="008442D3" w:rsidRDefault="00DE3A6F" w:rsidP="008442D3">
      <w:pPr>
        <w:pStyle w:val="ListParagraph"/>
        <w:numPr>
          <w:ilvl w:val="0"/>
          <w:numId w:val="31"/>
        </w:numPr>
        <w:tabs>
          <w:tab w:val="left" w:pos="1588"/>
        </w:tabs>
        <w:suppressAutoHyphens/>
        <w:spacing w:before="40" w:line="260" w:lineRule="atLeast"/>
        <w:ind w:left="1587" w:hanging="340"/>
        <w:jc w:val="both"/>
        <w:rPr>
          <w:rFonts w:ascii="Arial" w:hAnsi="Arial"/>
          <w:b/>
          <w:sz w:val="20"/>
        </w:rPr>
      </w:pPr>
      <w:r w:rsidRPr="007831A0">
        <w:rPr>
          <w:rFonts w:ascii="Arial" w:hAnsi="Arial"/>
          <w:sz w:val="20"/>
        </w:rPr>
        <w:t xml:space="preserve">When the submission of PSURs/PBRERs is a condition of registration for a new </w:t>
      </w:r>
      <w:r w:rsidR="004040ED">
        <w:rPr>
          <w:rFonts w:ascii="Arial" w:hAnsi="Arial"/>
          <w:sz w:val="20"/>
        </w:rPr>
        <w:t xml:space="preserve">medicine or range of medicines. </w:t>
      </w:r>
      <w:r w:rsidRPr="007831A0">
        <w:rPr>
          <w:rFonts w:ascii="Arial" w:hAnsi="Arial"/>
          <w:sz w:val="20"/>
        </w:rPr>
        <w:t>The</w:t>
      </w:r>
      <w:r w:rsidR="00A25853">
        <w:rPr>
          <w:rFonts w:ascii="Arial" w:hAnsi="Arial"/>
          <w:sz w:val="20"/>
        </w:rPr>
        <w:t xml:space="preserve"> </w:t>
      </w:r>
      <w:r w:rsidRPr="007831A0">
        <w:rPr>
          <w:rFonts w:ascii="Arial" w:hAnsi="Arial"/>
          <w:sz w:val="20"/>
        </w:rPr>
        <w:t>holder</w:t>
      </w:r>
      <w:r w:rsidR="00847AE5" w:rsidRPr="007831A0">
        <w:rPr>
          <w:rFonts w:ascii="Arial" w:hAnsi="Arial"/>
          <w:sz w:val="20"/>
        </w:rPr>
        <w:t xml:space="preserve">/applicant </w:t>
      </w:r>
      <w:r w:rsidRPr="007831A0">
        <w:rPr>
          <w:rFonts w:ascii="Arial" w:hAnsi="Arial"/>
          <w:sz w:val="20"/>
        </w:rPr>
        <w:t>must submit these PSURs/PBRERs</w:t>
      </w:r>
      <w:r w:rsidR="00A25853">
        <w:rPr>
          <w:rFonts w:ascii="Arial" w:hAnsi="Arial"/>
          <w:sz w:val="20"/>
        </w:rPr>
        <w:t xml:space="preserve"> </w:t>
      </w:r>
      <w:r w:rsidRPr="007831A0">
        <w:rPr>
          <w:rFonts w:ascii="Arial" w:hAnsi="Arial"/>
          <w:sz w:val="20"/>
        </w:rPr>
        <w:t>within 30 calendar days of initial receipt from the parent company</w:t>
      </w:r>
      <w:r w:rsidR="004903D9" w:rsidRPr="007831A0">
        <w:rPr>
          <w:rFonts w:ascii="Arial" w:hAnsi="Arial"/>
          <w:sz w:val="20"/>
        </w:rPr>
        <w:t>.</w:t>
      </w:r>
    </w:p>
    <w:p w:rsidR="008442D3" w:rsidRDefault="00760E87" w:rsidP="008442D3">
      <w:pPr>
        <w:pStyle w:val="ListParagraph"/>
        <w:numPr>
          <w:ilvl w:val="0"/>
          <w:numId w:val="31"/>
        </w:numPr>
        <w:tabs>
          <w:tab w:val="left" w:pos="1588"/>
        </w:tabs>
        <w:suppressAutoHyphens/>
        <w:spacing w:before="40" w:line="260" w:lineRule="atLeast"/>
        <w:ind w:left="1587" w:hanging="340"/>
        <w:jc w:val="both"/>
        <w:rPr>
          <w:rFonts w:ascii="Arial" w:hAnsi="Arial"/>
          <w:b/>
          <w:sz w:val="20"/>
        </w:rPr>
      </w:pPr>
      <w:r w:rsidRPr="00F92DB8">
        <w:rPr>
          <w:rFonts w:ascii="Arial" w:hAnsi="Arial"/>
          <w:sz w:val="20"/>
        </w:rPr>
        <w:t>As part of a submission to amend the conditions of registration when the PSUR</w:t>
      </w:r>
      <w:r w:rsidR="00A40C9C" w:rsidRPr="00F92DB8">
        <w:rPr>
          <w:rFonts w:ascii="Arial" w:hAnsi="Arial"/>
          <w:sz w:val="20"/>
        </w:rPr>
        <w:t>/PBRER</w:t>
      </w:r>
      <w:r w:rsidRPr="00F92DB8">
        <w:rPr>
          <w:rFonts w:ascii="Arial" w:hAnsi="Arial"/>
          <w:sz w:val="20"/>
        </w:rPr>
        <w:t xml:space="preserve"> contains information supporting the amendment.</w:t>
      </w:r>
    </w:p>
    <w:p w:rsidR="002E3BA4" w:rsidRPr="007E2D05" w:rsidRDefault="008442D3" w:rsidP="007E2D05">
      <w:pPr>
        <w:pStyle w:val="ListParagraph"/>
        <w:numPr>
          <w:ilvl w:val="0"/>
          <w:numId w:val="31"/>
        </w:numPr>
        <w:tabs>
          <w:tab w:val="left" w:pos="1588"/>
        </w:tabs>
        <w:suppressAutoHyphens/>
        <w:spacing w:before="40" w:line="260" w:lineRule="atLeast"/>
        <w:ind w:left="1587" w:hanging="340"/>
        <w:jc w:val="both"/>
        <w:rPr>
          <w:rFonts w:ascii="Arial" w:hAnsi="Arial"/>
          <w:sz w:val="20"/>
        </w:rPr>
      </w:pPr>
      <w:r w:rsidRPr="007E2D05">
        <w:rPr>
          <w:rFonts w:ascii="Arial" w:hAnsi="Arial"/>
          <w:sz w:val="20"/>
        </w:rPr>
        <w:t>The PSUR or PBRER should be compiled in accordance with the requirements of the current ICH E2C Expert Group on Clinical Safety Data Management:  Periodic Safety Update Reports for Marketed Drugs.</w:t>
      </w:r>
    </w:p>
    <w:p w:rsidR="00760E87" w:rsidRPr="007831A0" w:rsidRDefault="00A40C9C" w:rsidP="007831A0">
      <w:pPr>
        <w:widowControl/>
        <w:suppressAutoHyphens/>
        <w:spacing w:before="80" w:line="280" w:lineRule="atLeast"/>
        <w:ind w:left="1247" w:hanging="567"/>
        <w:jc w:val="both"/>
        <w:rPr>
          <w:rFonts w:ascii="Arial" w:hAnsi="Arial"/>
          <w:sz w:val="20"/>
        </w:rPr>
      </w:pPr>
      <w:r w:rsidRPr="00F92DB8">
        <w:rPr>
          <w:rFonts w:ascii="Arial" w:hAnsi="Arial"/>
          <w:sz w:val="20"/>
        </w:rPr>
        <w:t>(ii</w:t>
      </w:r>
      <w:r w:rsidR="008442D3" w:rsidRPr="008442D3">
        <w:rPr>
          <w:rFonts w:ascii="Arial" w:hAnsi="Arial"/>
          <w:b/>
          <w:sz w:val="20"/>
        </w:rPr>
        <w:t>)</w:t>
      </w:r>
      <w:r w:rsidRPr="007831A0">
        <w:rPr>
          <w:rFonts w:ascii="Arial" w:hAnsi="Arial"/>
          <w:sz w:val="20"/>
        </w:rPr>
        <w:tab/>
        <w:t xml:space="preserve">The </w:t>
      </w:r>
      <w:r w:rsidR="002C5C91" w:rsidRPr="007831A0">
        <w:rPr>
          <w:rFonts w:ascii="Arial" w:hAnsi="Arial"/>
          <w:sz w:val="20"/>
        </w:rPr>
        <w:t>holder or</w:t>
      </w:r>
      <w:r w:rsidR="00D579AC">
        <w:rPr>
          <w:rFonts w:ascii="Arial" w:hAnsi="Arial"/>
          <w:sz w:val="20"/>
        </w:rPr>
        <w:t xml:space="preserve"> </w:t>
      </w:r>
      <w:r w:rsidR="0042436A" w:rsidRPr="007831A0">
        <w:rPr>
          <w:rFonts w:ascii="Arial" w:hAnsi="Arial"/>
          <w:sz w:val="20"/>
        </w:rPr>
        <w:t>applicant</w:t>
      </w:r>
      <w:r w:rsidR="00D579AC">
        <w:rPr>
          <w:rFonts w:ascii="Arial" w:hAnsi="Arial"/>
          <w:sz w:val="20"/>
        </w:rPr>
        <w:t xml:space="preserve"> </w:t>
      </w:r>
      <w:r w:rsidR="00760E87" w:rsidRPr="007831A0">
        <w:rPr>
          <w:rFonts w:ascii="Arial" w:hAnsi="Arial"/>
          <w:sz w:val="20"/>
        </w:rPr>
        <w:t xml:space="preserve">should inform </w:t>
      </w:r>
      <w:r w:rsidR="008442D3" w:rsidRPr="00D56B6E">
        <w:rPr>
          <w:rFonts w:ascii="Arial" w:hAnsi="Arial"/>
          <w:sz w:val="20"/>
        </w:rPr>
        <w:t xml:space="preserve">the </w:t>
      </w:r>
      <w:r w:rsidR="008442D3" w:rsidRPr="007E2D05">
        <w:rPr>
          <w:rFonts w:ascii="Arial" w:hAnsi="Arial"/>
          <w:sz w:val="20"/>
        </w:rPr>
        <w:t>Authority</w:t>
      </w:r>
      <w:r w:rsidR="00D579AC" w:rsidRPr="00AB6897">
        <w:rPr>
          <w:rFonts w:ascii="Arial" w:hAnsi="Arial"/>
          <w:color w:val="1F497D" w:themeColor="text2"/>
          <w:sz w:val="20"/>
        </w:rPr>
        <w:t xml:space="preserve"> </w:t>
      </w:r>
      <w:r w:rsidR="00760E87" w:rsidRPr="007831A0">
        <w:rPr>
          <w:rFonts w:ascii="Arial" w:hAnsi="Arial"/>
          <w:sz w:val="20"/>
        </w:rPr>
        <w:t>of any steps, which are taken, or to be taken, with regard to safety concerns raised in the PSUR</w:t>
      </w:r>
      <w:r w:rsidRPr="007831A0">
        <w:rPr>
          <w:rFonts w:ascii="Arial" w:hAnsi="Arial"/>
          <w:sz w:val="20"/>
        </w:rPr>
        <w:t>/PBRER</w:t>
      </w:r>
      <w:r w:rsidR="00760E87" w:rsidRPr="007831A0">
        <w:rPr>
          <w:rFonts w:ascii="Arial" w:hAnsi="Arial"/>
          <w:sz w:val="20"/>
        </w:rPr>
        <w:t xml:space="preserve"> at the time of the submission.</w:t>
      </w:r>
    </w:p>
    <w:p w:rsidR="00760E87" w:rsidRPr="007831A0" w:rsidRDefault="00A64F63" w:rsidP="0056753E">
      <w:pPr>
        <w:pStyle w:val="Heading2"/>
      </w:pPr>
      <w:bookmarkStart w:id="62" w:name="_Toc396005419"/>
      <w:bookmarkStart w:id="63" w:name="_Toc5282789"/>
      <w:r w:rsidRPr="007831A0">
        <w:t>4</w:t>
      </w:r>
      <w:r w:rsidR="00760E87" w:rsidRPr="007831A0">
        <w:t>.4</w:t>
      </w:r>
      <w:r w:rsidR="00760E87" w:rsidRPr="007831A0">
        <w:tab/>
      </w:r>
      <w:r w:rsidR="00A40C9C" w:rsidRPr="007831A0">
        <w:t>South African</w:t>
      </w:r>
      <w:r w:rsidR="00D579AC">
        <w:t xml:space="preserve"> </w:t>
      </w:r>
      <w:r w:rsidR="00760E87" w:rsidRPr="007831A0">
        <w:t>Case Reports from Published Scientific Literature:</w:t>
      </w:r>
      <w:bookmarkEnd w:id="62"/>
      <w:bookmarkEnd w:id="63"/>
    </w:p>
    <w:p w:rsidR="00310F5B" w:rsidRPr="007831A0" w:rsidRDefault="00760E87" w:rsidP="007831A0">
      <w:pPr>
        <w:widowControl/>
        <w:tabs>
          <w:tab w:val="left" w:pos="1247"/>
        </w:tabs>
        <w:suppressAutoHyphens/>
        <w:spacing w:before="80" w:line="260" w:lineRule="atLeast"/>
        <w:ind w:left="1247" w:hanging="567"/>
        <w:jc w:val="both"/>
        <w:rPr>
          <w:rFonts w:ascii="Arial" w:hAnsi="Arial"/>
          <w:sz w:val="20"/>
        </w:rPr>
      </w:pPr>
      <w:r w:rsidRPr="007831A0">
        <w:rPr>
          <w:rFonts w:ascii="Arial" w:hAnsi="Arial"/>
          <w:sz w:val="20"/>
        </w:rPr>
        <w:t>(</w:t>
      </w:r>
      <w:proofErr w:type="spellStart"/>
      <w:r w:rsidRPr="007831A0">
        <w:rPr>
          <w:rFonts w:ascii="Arial" w:hAnsi="Arial"/>
          <w:sz w:val="20"/>
        </w:rPr>
        <w:t>i</w:t>
      </w:r>
      <w:proofErr w:type="spellEnd"/>
      <w:r w:rsidRPr="007831A0">
        <w:rPr>
          <w:rFonts w:ascii="Arial" w:hAnsi="Arial"/>
          <w:sz w:val="20"/>
        </w:rPr>
        <w:t>)</w:t>
      </w:r>
      <w:r w:rsidRPr="007831A0">
        <w:rPr>
          <w:rFonts w:ascii="Arial" w:hAnsi="Arial"/>
          <w:sz w:val="20"/>
        </w:rPr>
        <w:tab/>
      </w:r>
      <w:r w:rsidR="00357F4F" w:rsidRPr="007831A0">
        <w:rPr>
          <w:rFonts w:ascii="Arial" w:hAnsi="Arial"/>
          <w:sz w:val="20"/>
        </w:rPr>
        <w:t>H</w:t>
      </w:r>
      <w:r w:rsidR="001C3DBE" w:rsidRPr="007831A0">
        <w:rPr>
          <w:rFonts w:ascii="Arial" w:hAnsi="Arial"/>
          <w:sz w:val="20"/>
        </w:rPr>
        <w:t>olders</w:t>
      </w:r>
      <w:r w:rsidR="00D579AC">
        <w:rPr>
          <w:rFonts w:ascii="Arial" w:hAnsi="Arial"/>
          <w:sz w:val="20"/>
        </w:rPr>
        <w:t xml:space="preserve"> </w:t>
      </w:r>
      <w:r w:rsidR="001C3DBE" w:rsidRPr="007831A0">
        <w:rPr>
          <w:rFonts w:ascii="Arial" w:hAnsi="Arial"/>
          <w:sz w:val="20"/>
        </w:rPr>
        <w:t>or a</w:t>
      </w:r>
      <w:r w:rsidR="0042436A" w:rsidRPr="007831A0">
        <w:rPr>
          <w:rFonts w:ascii="Arial" w:hAnsi="Arial"/>
          <w:sz w:val="20"/>
        </w:rPr>
        <w:t>pplicants</w:t>
      </w:r>
      <w:r w:rsidR="00D579AC">
        <w:rPr>
          <w:rFonts w:ascii="Arial" w:hAnsi="Arial"/>
          <w:sz w:val="20"/>
        </w:rPr>
        <w:t xml:space="preserve"> </w:t>
      </w:r>
      <w:r w:rsidRPr="007831A0">
        <w:rPr>
          <w:rFonts w:ascii="Arial" w:hAnsi="Arial"/>
          <w:sz w:val="20"/>
        </w:rPr>
        <w:t>should</w:t>
      </w:r>
      <w:r w:rsidR="00D6033F">
        <w:rPr>
          <w:rFonts w:ascii="Arial" w:hAnsi="Arial"/>
          <w:sz w:val="20"/>
        </w:rPr>
        <w:t>,</w:t>
      </w:r>
      <w:r w:rsidR="00A25853">
        <w:rPr>
          <w:rFonts w:ascii="Arial" w:hAnsi="Arial"/>
          <w:sz w:val="20"/>
        </w:rPr>
        <w:t xml:space="preserve"> </w:t>
      </w:r>
      <w:r w:rsidR="008442D3" w:rsidRPr="00D56B6E">
        <w:rPr>
          <w:rFonts w:ascii="Arial" w:hAnsi="Arial"/>
          <w:sz w:val="20"/>
        </w:rPr>
        <w:t xml:space="preserve">through </w:t>
      </w:r>
      <w:r w:rsidR="008442D3" w:rsidRPr="007E2D05">
        <w:rPr>
          <w:rFonts w:ascii="Arial" w:hAnsi="Arial"/>
          <w:sz w:val="20"/>
        </w:rPr>
        <w:t>screening</w:t>
      </w:r>
      <w:r w:rsidR="008442D3" w:rsidRPr="00AB6897">
        <w:rPr>
          <w:rFonts w:ascii="Arial" w:hAnsi="Arial"/>
          <w:color w:val="1F497D" w:themeColor="text2"/>
          <w:sz w:val="20"/>
        </w:rPr>
        <w:t xml:space="preserve"> </w:t>
      </w:r>
      <w:r w:rsidR="008442D3" w:rsidRPr="007E2D05">
        <w:rPr>
          <w:rFonts w:ascii="Arial" w:hAnsi="Arial"/>
          <w:sz w:val="20"/>
        </w:rPr>
        <w:t>of the worldwide literature</w:t>
      </w:r>
      <w:r w:rsidR="00D6033F">
        <w:rPr>
          <w:rFonts w:ascii="Arial" w:hAnsi="Arial"/>
          <w:sz w:val="20"/>
        </w:rPr>
        <w:t xml:space="preserve">, </w:t>
      </w:r>
      <w:r w:rsidRPr="007831A0">
        <w:rPr>
          <w:rFonts w:ascii="Arial" w:hAnsi="Arial"/>
          <w:sz w:val="20"/>
        </w:rPr>
        <w:t>report published</w:t>
      </w:r>
      <w:r w:rsidR="00A25853">
        <w:rPr>
          <w:rFonts w:ascii="Arial" w:hAnsi="Arial"/>
          <w:sz w:val="20"/>
        </w:rPr>
        <w:t xml:space="preserve"> </w:t>
      </w:r>
      <w:r w:rsidR="00357F4F" w:rsidRPr="007831A0">
        <w:rPr>
          <w:rFonts w:ascii="Arial" w:hAnsi="Arial"/>
          <w:sz w:val="20"/>
        </w:rPr>
        <w:t xml:space="preserve">accounts of </w:t>
      </w:r>
      <w:r w:rsidR="0035467F" w:rsidRPr="007E2D05">
        <w:rPr>
          <w:rFonts w:ascii="Arial" w:hAnsi="Arial"/>
          <w:sz w:val="20"/>
        </w:rPr>
        <w:t>serious</w:t>
      </w:r>
      <w:r w:rsidR="0035467F">
        <w:rPr>
          <w:rFonts w:ascii="Arial" w:hAnsi="Arial"/>
          <w:sz w:val="20"/>
        </w:rPr>
        <w:t xml:space="preserve"> </w:t>
      </w:r>
      <w:r w:rsidRPr="007831A0">
        <w:rPr>
          <w:rFonts w:ascii="Arial" w:hAnsi="Arial"/>
          <w:sz w:val="20"/>
        </w:rPr>
        <w:t>suspected adverse drug reactions related to the active substance(s) of their medicin</w:t>
      </w:r>
      <w:r w:rsidR="0078395A" w:rsidRPr="007831A0">
        <w:rPr>
          <w:rFonts w:ascii="Arial" w:hAnsi="Arial"/>
          <w:sz w:val="20"/>
        </w:rPr>
        <w:t>e</w:t>
      </w:r>
      <w:r w:rsidR="004903D9" w:rsidRPr="007831A0">
        <w:rPr>
          <w:rFonts w:ascii="Arial" w:hAnsi="Arial"/>
          <w:sz w:val="20"/>
        </w:rPr>
        <w:t>s</w:t>
      </w:r>
      <w:r w:rsidR="00A33252">
        <w:rPr>
          <w:rFonts w:ascii="Arial" w:hAnsi="Arial"/>
          <w:sz w:val="20"/>
        </w:rPr>
        <w:t xml:space="preserve"> </w:t>
      </w:r>
      <w:r w:rsidR="00A33252" w:rsidRPr="007E2D05">
        <w:rPr>
          <w:rFonts w:ascii="Arial" w:hAnsi="Arial"/>
          <w:sz w:val="20"/>
        </w:rPr>
        <w:t>occurring in South Africa</w:t>
      </w:r>
      <w:r w:rsidR="00257517" w:rsidRPr="007831A0">
        <w:rPr>
          <w:rFonts w:ascii="Arial" w:hAnsi="Arial"/>
          <w:sz w:val="20"/>
        </w:rPr>
        <w:t>.</w:t>
      </w:r>
      <w:r w:rsidR="00EC7BF6" w:rsidRPr="007831A0">
        <w:rPr>
          <w:rFonts w:ascii="Arial" w:hAnsi="Arial"/>
          <w:sz w:val="20"/>
        </w:rPr>
        <w:t xml:space="preserve">  A copy of the relevant</w:t>
      </w:r>
      <w:r w:rsidR="00357F4F" w:rsidRPr="007831A0">
        <w:rPr>
          <w:rFonts w:ascii="Arial" w:hAnsi="Arial"/>
          <w:sz w:val="20"/>
        </w:rPr>
        <w:t xml:space="preserve"> scientific publication </w:t>
      </w:r>
      <w:r w:rsidR="00A402AB" w:rsidRPr="007831A0">
        <w:rPr>
          <w:rFonts w:ascii="Arial" w:hAnsi="Arial"/>
          <w:sz w:val="20"/>
        </w:rPr>
        <w:t>should</w:t>
      </w:r>
      <w:r w:rsidRPr="007831A0">
        <w:rPr>
          <w:rFonts w:ascii="Arial" w:hAnsi="Arial"/>
          <w:sz w:val="20"/>
        </w:rPr>
        <w:t xml:space="preserve"> be provided. </w:t>
      </w:r>
    </w:p>
    <w:p w:rsidR="00760E87" w:rsidRPr="007831A0" w:rsidRDefault="00760E87" w:rsidP="007831A0">
      <w:pPr>
        <w:widowControl/>
        <w:tabs>
          <w:tab w:val="left" w:pos="1247"/>
        </w:tabs>
        <w:suppressAutoHyphens/>
        <w:spacing w:before="80" w:line="260" w:lineRule="atLeast"/>
        <w:ind w:left="1247" w:hanging="567"/>
        <w:jc w:val="both"/>
        <w:rPr>
          <w:rFonts w:ascii="Arial" w:hAnsi="Arial"/>
          <w:sz w:val="20"/>
        </w:rPr>
      </w:pPr>
      <w:r w:rsidRPr="007831A0">
        <w:rPr>
          <w:rFonts w:ascii="Arial" w:hAnsi="Arial"/>
          <w:sz w:val="20"/>
        </w:rPr>
        <w:t>(ii)</w:t>
      </w:r>
      <w:r w:rsidRPr="007831A0">
        <w:rPr>
          <w:rFonts w:ascii="Arial" w:hAnsi="Arial"/>
          <w:sz w:val="20"/>
        </w:rPr>
        <w:tab/>
        <w:t xml:space="preserve">An adverse drug reaction report should be completed for each identifiable patient (with an identifiable adverse drug reaction).  For instance, if an article describes six identifiable patients with a given adverse experience, six adverse drug reaction reports should be submitted to </w:t>
      </w:r>
      <w:r w:rsidR="008442D3" w:rsidRPr="00D56B6E">
        <w:rPr>
          <w:rFonts w:ascii="Arial" w:hAnsi="Arial"/>
          <w:sz w:val="20"/>
        </w:rPr>
        <w:t xml:space="preserve">the </w:t>
      </w:r>
      <w:r w:rsidR="008442D3" w:rsidRPr="00005FC8">
        <w:rPr>
          <w:rFonts w:ascii="Arial" w:hAnsi="Arial"/>
          <w:sz w:val="20"/>
        </w:rPr>
        <w:t>Authority</w:t>
      </w:r>
      <w:r w:rsidRPr="00D56B6E">
        <w:rPr>
          <w:rFonts w:ascii="Arial" w:hAnsi="Arial"/>
          <w:sz w:val="20"/>
        </w:rPr>
        <w:t>.</w:t>
      </w:r>
    </w:p>
    <w:p w:rsidR="00760E87" w:rsidRPr="007831A0" w:rsidRDefault="00760E87" w:rsidP="007831A0">
      <w:pPr>
        <w:widowControl/>
        <w:tabs>
          <w:tab w:val="left" w:pos="1247"/>
        </w:tabs>
        <w:suppressAutoHyphens/>
        <w:spacing w:before="80" w:line="260" w:lineRule="atLeast"/>
        <w:ind w:left="1247" w:hanging="567"/>
        <w:jc w:val="both"/>
        <w:rPr>
          <w:rFonts w:ascii="Arial" w:hAnsi="Arial"/>
          <w:strike/>
          <w:sz w:val="20"/>
        </w:rPr>
      </w:pPr>
      <w:r w:rsidRPr="007831A0">
        <w:rPr>
          <w:rFonts w:ascii="Arial" w:hAnsi="Arial"/>
          <w:sz w:val="20"/>
        </w:rPr>
        <w:t>(iii)</w:t>
      </w:r>
      <w:r w:rsidRPr="007831A0">
        <w:rPr>
          <w:rFonts w:ascii="Arial" w:hAnsi="Arial"/>
          <w:sz w:val="20"/>
        </w:rPr>
        <w:tab/>
        <w:t xml:space="preserve">If more than one medicine is mentioned in the literature report, only the </w:t>
      </w:r>
      <w:r w:rsidR="002C5C91" w:rsidRPr="007831A0">
        <w:rPr>
          <w:rFonts w:ascii="Arial" w:hAnsi="Arial"/>
          <w:sz w:val="20"/>
        </w:rPr>
        <w:t>holder or</w:t>
      </w:r>
      <w:r w:rsidR="00F92DB8">
        <w:rPr>
          <w:rFonts w:ascii="Arial" w:hAnsi="Arial"/>
          <w:sz w:val="20"/>
        </w:rPr>
        <w:t xml:space="preserve"> </w:t>
      </w:r>
      <w:r w:rsidR="0042436A" w:rsidRPr="007831A0">
        <w:rPr>
          <w:rFonts w:ascii="Arial" w:hAnsi="Arial"/>
          <w:sz w:val="20"/>
        </w:rPr>
        <w:t>applicant</w:t>
      </w:r>
      <w:r w:rsidRPr="007831A0">
        <w:rPr>
          <w:rFonts w:ascii="Arial" w:hAnsi="Arial"/>
          <w:sz w:val="20"/>
        </w:rPr>
        <w:t xml:space="preserve"> whose medicine is suspected of being the cause is required to submit a report. </w:t>
      </w:r>
      <w:r w:rsidR="001B109C" w:rsidRPr="007831A0">
        <w:rPr>
          <w:rFonts w:ascii="Arial" w:hAnsi="Arial"/>
          <w:sz w:val="20"/>
        </w:rPr>
        <w:t>The suspect medicine is usually the one stated as such in the body or title of the article by the author(s).</w:t>
      </w:r>
    </w:p>
    <w:p w:rsidR="00C31A11" w:rsidRPr="007831A0" w:rsidRDefault="00760E87" w:rsidP="007831A0">
      <w:pPr>
        <w:widowControl/>
        <w:tabs>
          <w:tab w:val="left" w:pos="1247"/>
        </w:tabs>
        <w:suppressAutoHyphens/>
        <w:spacing w:before="80" w:line="260" w:lineRule="atLeast"/>
        <w:ind w:left="1247" w:hanging="567"/>
        <w:jc w:val="both"/>
        <w:rPr>
          <w:rFonts w:ascii="Arial" w:hAnsi="Arial" w:cs="Arial"/>
          <w:sz w:val="20"/>
        </w:rPr>
      </w:pPr>
      <w:r w:rsidRPr="007831A0">
        <w:rPr>
          <w:rFonts w:ascii="Arial" w:hAnsi="Arial"/>
          <w:sz w:val="20"/>
        </w:rPr>
        <w:t>(iv)</w:t>
      </w:r>
      <w:r w:rsidRPr="007831A0">
        <w:rPr>
          <w:rFonts w:ascii="Arial" w:hAnsi="Arial"/>
          <w:sz w:val="20"/>
        </w:rPr>
        <w:tab/>
        <w:t>If the</w:t>
      </w:r>
      <w:r w:rsidR="00F92DB8">
        <w:rPr>
          <w:rFonts w:ascii="Arial" w:hAnsi="Arial"/>
          <w:sz w:val="20"/>
        </w:rPr>
        <w:t xml:space="preserve"> </w:t>
      </w:r>
      <w:r w:rsidR="00357F4F" w:rsidRPr="007831A0">
        <w:rPr>
          <w:rFonts w:ascii="Arial" w:hAnsi="Arial" w:cs="Arial"/>
          <w:sz w:val="20"/>
        </w:rPr>
        <w:t>source of the medicin</w:t>
      </w:r>
      <w:r w:rsidR="006B183E" w:rsidRPr="007831A0">
        <w:rPr>
          <w:rFonts w:ascii="Arial" w:hAnsi="Arial" w:cs="Arial"/>
          <w:sz w:val="20"/>
        </w:rPr>
        <w:t>e</w:t>
      </w:r>
      <w:r w:rsidR="00F92DB8">
        <w:rPr>
          <w:rFonts w:ascii="Arial" w:hAnsi="Arial" w:cs="Arial"/>
          <w:sz w:val="20"/>
        </w:rPr>
        <w:t xml:space="preserve"> </w:t>
      </w:r>
      <w:r w:rsidRPr="007831A0">
        <w:rPr>
          <w:rFonts w:ascii="Arial" w:hAnsi="Arial" w:cs="Arial"/>
          <w:sz w:val="20"/>
        </w:rPr>
        <w:t>and/or the proprietary name is not specified and ownership of the</w:t>
      </w:r>
      <w:r w:rsidRPr="00F06604">
        <w:rPr>
          <w:rFonts w:ascii="Arial" w:hAnsi="Arial" w:cs="Arial"/>
          <w:sz w:val="20"/>
        </w:rPr>
        <w:t xml:space="preserve"> product cannot be excluded on the basis of the active substance(s</w:t>
      </w:r>
      <w:r w:rsidR="003C1F7F" w:rsidRPr="00F06604">
        <w:rPr>
          <w:rFonts w:ascii="Arial" w:hAnsi="Arial" w:cs="Arial"/>
          <w:sz w:val="20"/>
        </w:rPr>
        <w:t>),</w:t>
      </w:r>
      <w:r w:rsidR="003C1F7F" w:rsidRPr="00250E43">
        <w:rPr>
          <w:rFonts w:ascii="Arial" w:hAnsi="Arial" w:cs="Arial"/>
          <w:sz w:val="20"/>
        </w:rPr>
        <w:t xml:space="preserve"> dosage</w:t>
      </w:r>
      <w:r w:rsidR="004040ED" w:rsidRPr="00250E43">
        <w:rPr>
          <w:rFonts w:ascii="Arial" w:hAnsi="Arial" w:cs="Arial"/>
          <w:sz w:val="20"/>
        </w:rPr>
        <w:t xml:space="preserve"> form</w:t>
      </w:r>
      <w:r w:rsidRPr="00F06604">
        <w:rPr>
          <w:rFonts w:ascii="Arial" w:hAnsi="Arial" w:cs="Arial"/>
          <w:sz w:val="20"/>
        </w:rPr>
        <w:t xml:space="preserve"> or route of </w:t>
      </w:r>
      <w:r w:rsidRPr="007831A0">
        <w:rPr>
          <w:rFonts w:ascii="Arial" w:hAnsi="Arial" w:cs="Arial"/>
          <w:sz w:val="20"/>
        </w:rPr>
        <w:t xml:space="preserve">administration, the </w:t>
      </w:r>
      <w:r w:rsidR="002C5C91" w:rsidRPr="007831A0">
        <w:rPr>
          <w:rFonts w:ascii="Arial" w:hAnsi="Arial" w:cs="Arial"/>
          <w:sz w:val="20"/>
        </w:rPr>
        <w:t xml:space="preserve">holder or </w:t>
      </w:r>
      <w:r w:rsidR="0042436A" w:rsidRPr="007831A0">
        <w:rPr>
          <w:rFonts w:ascii="Arial" w:hAnsi="Arial" w:cs="Arial"/>
          <w:sz w:val="20"/>
        </w:rPr>
        <w:t>applicant</w:t>
      </w:r>
      <w:r w:rsidR="00F92DB8">
        <w:rPr>
          <w:rFonts w:ascii="Arial" w:hAnsi="Arial" w:cs="Arial"/>
          <w:sz w:val="20"/>
        </w:rPr>
        <w:t xml:space="preserve"> </w:t>
      </w:r>
      <w:r w:rsidRPr="007831A0">
        <w:rPr>
          <w:rFonts w:ascii="Arial" w:hAnsi="Arial" w:cs="Arial"/>
          <w:sz w:val="20"/>
        </w:rPr>
        <w:t xml:space="preserve">should assume that it is one of their </w:t>
      </w:r>
      <w:r w:rsidR="00D50F66" w:rsidRPr="007831A0">
        <w:rPr>
          <w:rFonts w:ascii="Arial" w:hAnsi="Arial" w:cs="Arial"/>
          <w:sz w:val="20"/>
        </w:rPr>
        <w:t>medicines</w:t>
      </w:r>
      <w:r w:rsidR="00F92DB8">
        <w:rPr>
          <w:rFonts w:ascii="Arial" w:hAnsi="Arial" w:cs="Arial"/>
          <w:sz w:val="20"/>
        </w:rPr>
        <w:t xml:space="preserve"> </w:t>
      </w:r>
      <w:r w:rsidR="00454A26" w:rsidRPr="007831A0">
        <w:rPr>
          <w:rFonts w:ascii="Arial" w:hAnsi="Arial" w:cs="Arial"/>
          <w:sz w:val="20"/>
        </w:rPr>
        <w:t>the publication refers to, although the report should in</w:t>
      </w:r>
      <w:r w:rsidR="00D50F66" w:rsidRPr="007831A0">
        <w:rPr>
          <w:rFonts w:ascii="Arial" w:hAnsi="Arial" w:cs="Arial"/>
          <w:sz w:val="20"/>
        </w:rPr>
        <w:t>dicate that the specific medicine</w:t>
      </w:r>
      <w:r w:rsidR="00454A26" w:rsidRPr="007831A0">
        <w:rPr>
          <w:rFonts w:ascii="Arial" w:hAnsi="Arial" w:cs="Arial"/>
          <w:sz w:val="20"/>
        </w:rPr>
        <w:t xml:space="preserve"> source and/or the proprietary name was not identified.</w:t>
      </w:r>
    </w:p>
    <w:p w:rsidR="009C2588" w:rsidRPr="007831A0" w:rsidRDefault="00377384" w:rsidP="007831A0">
      <w:pPr>
        <w:widowControl/>
        <w:tabs>
          <w:tab w:val="left" w:pos="1247"/>
        </w:tabs>
        <w:suppressAutoHyphens/>
        <w:spacing w:before="80" w:line="260" w:lineRule="atLeast"/>
        <w:ind w:left="1247" w:hanging="567"/>
        <w:jc w:val="both"/>
        <w:rPr>
          <w:rFonts w:ascii="Arial" w:hAnsi="Arial" w:cs="Arial"/>
          <w:sz w:val="20"/>
        </w:rPr>
      </w:pPr>
      <w:r w:rsidRPr="007831A0">
        <w:rPr>
          <w:rFonts w:ascii="Arial" w:hAnsi="Arial" w:cs="Arial"/>
          <w:sz w:val="20"/>
        </w:rPr>
        <w:t>(v)</w:t>
      </w:r>
      <w:r w:rsidRPr="007831A0">
        <w:rPr>
          <w:rFonts w:ascii="Arial" w:hAnsi="Arial" w:cs="Arial"/>
          <w:sz w:val="20"/>
        </w:rPr>
        <w:tab/>
      </w:r>
      <w:r w:rsidR="009C2588" w:rsidRPr="007831A0">
        <w:rPr>
          <w:rFonts w:ascii="Arial" w:hAnsi="Arial" w:cs="Arial"/>
          <w:sz w:val="20"/>
        </w:rPr>
        <w:t xml:space="preserve">If the literature report is of a generalised nature with no identifiable patient, it should not be submitted as an individual case report. However, if the report identifies a safety concern this should be communicated to the </w:t>
      </w:r>
      <w:r w:rsidR="00763164">
        <w:rPr>
          <w:rFonts w:ascii="Arial" w:hAnsi="Arial" w:cs="Arial"/>
          <w:sz w:val="20"/>
        </w:rPr>
        <w:t>Authority</w:t>
      </w:r>
      <w:r w:rsidR="0062136C" w:rsidRPr="00D0334E">
        <w:rPr>
          <w:rFonts w:ascii="Arial" w:hAnsi="Arial" w:cs="Arial"/>
          <w:color w:val="1F497D" w:themeColor="text2"/>
          <w:sz w:val="20"/>
        </w:rPr>
        <w:t xml:space="preserve"> </w:t>
      </w:r>
      <w:r w:rsidR="009C2588" w:rsidRPr="007831A0">
        <w:rPr>
          <w:rFonts w:ascii="Arial" w:hAnsi="Arial" w:cs="Arial"/>
          <w:sz w:val="20"/>
        </w:rPr>
        <w:t xml:space="preserve">and include an opinion </w:t>
      </w:r>
      <w:r w:rsidR="00357F4F" w:rsidRPr="007831A0">
        <w:rPr>
          <w:rFonts w:ascii="Arial" w:hAnsi="Arial" w:cs="Arial"/>
          <w:sz w:val="20"/>
        </w:rPr>
        <w:t xml:space="preserve">on the </w:t>
      </w:r>
      <w:r w:rsidR="004903D9" w:rsidRPr="007831A0">
        <w:rPr>
          <w:rFonts w:ascii="Arial" w:hAnsi="Arial" w:cs="Arial"/>
          <w:sz w:val="20"/>
        </w:rPr>
        <w:t xml:space="preserve">issue prepared on behalf </w:t>
      </w:r>
      <w:r w:rsidR="00357F4F" w:rsidRPr="007831A0">
        <w:rPr>
          <w:rFonts w:ascii="Arial" w:hAnsi="Arial" w:cs="Arial"/>
          <w:sz w:val="20"/>
        </w:rPr>
        <w:t xml:space="preserve">of </w:t>
      </w:r>
      <w:r w:rsidR="009C2588" w:rsidRPr="007831A0">
        <w:rPr>
          <w:rFonts w:ascii="Arial" w:hAnsi="Arial" w:cs="Arial"/>
          <w:sz w:val="20"/>
        </w:rPr>
        <w:t>the</w:t>
      </w:r>
      <w:r w:rsidR="001C3DBE" w:rsidRPr="007831A0">
        <w:rPr>
          <w:rFonts w:ascii="Arial" w:hAnsi="Arial" w:cs="Arial"/>
          <w:sz w:val="20"/>
        </w:rPr>
        <w:t xml:space="preserve"> holder or </w:t>
      </w:r>
      <w:r w:rsidR="0042436A" w:rsidRPr="007831A0">
        <w:rPr>
          <w:rFonts w:ascii="Arial" w:hAnsi="Arial" w:cs="Arial"/>
          <w:sz w:val="20"/>
        </w:rPr>
        <w:t>applicant</w:t>
      </w:r>
      <w:r w:rsidR="009C2588" w:rsidRPr="007831A0">
        <w:rPr>
          <w:rFonts w:ascii="Arial" w:hAnsi="Arial" w:cs="Arial"/>
          <w:sz w:val="20"/>
        </w:rPr>
        <w:t>.</w:t>
      </w:r>
    </w:p>
    <w:p w:rsidR="00760E87" w:rsidRDefault="00A64F63" w:rsidP="0056753E">
      <w:pPr>
        <w:pStyle w:val="Heading2"/>
      </w:pPr>
      <w:bookmarkStart w:id="64" w:name="_Toc396005420"/>
      <w:bookmarkStart w:id="65" w:name="_Toc5282790"/>
      <w:r>
        <w:t>4</w:t>
      </w:r>
      <w:r w:rsidR="00760E87">
        <w:t>.5</w:t>
      </w:r>
      <w:r w:rsidR="00760E87">
        <w:tab/>
        <w:t>Reports from Post-Registration Studies</w:t>
      </w:r>
      <w:bookmarkEnd w:id="64"/>
      <w:bookmarkEnd w:id="65"/>
    </w:p>
    <w:p w:rsidR="00760E87" w:rsidRDefault="00760E87" w:rsidP="00310F5B">
      <w:pPr>
        <w:widowControl/>
        <w:tabs>
          <w:tab w:val="left" w:pos="1247"/>
        </w:tabs>
        <w:suppressAutoHyphens/>
        <w:spacing w:before="120" w:line="280" w:lineRule="atLeast"/>
        <w:ind w:left="1247" w:hanging="567"/>
        <w:jc w:val="both"/>
        <w:rPr>
          <w:rFonts w:ascii="Arial" w:hAnsi="Arial"/>
          <w:sz w:val="20"/>
        </w:rPr>
      </w:pPr>
      <w:r>
        <w:rPr>
          <w:rFonts w:ascii="Arial" w:hAnsi="Arial"/>
          <w:sz w:val="20"/>
        </w:rPr>
        <w:t>(</w:t>
      </w:r>
      <w:proofErr w:type="spellStart"/>
      <w:r>
        <w:rPr>
          <w:rFonts w:ascii="Arial" w:hAnsi="Arial"/>
          <w:sz w:val="20"/>
        </w:rPr>
        <w:t>i</w:t>
      </w:r>
      <w:proofErr w:type="spellEnd"/>
      <w:r>
        <w:rPr>
          <w:rFonts w:ascii="Arial" w:hAnsi="Arial"/>
          <w:sz w:val="20"/>
        </w:rPr>
        <w:t>)</w:t>
      </w:r>
      <w:r>
        <w:rPr>
          <w:rFonts w:ascii="Arial" w:hAnsi="Arial"/>
          <w:sz w:val="20"/>
        </w:rPr>
        <w:tab/>
        <w:t xml:space="preserve">All suspected </w:t>
      </w:r>
      <w:r w:rsidR="0062136C" w:rsidRPr="00005FC8">
        <w:rPr>
          <w:rFonts w:ascii="Arial" w:hAnsi="Arial"/>
          <w:sz w:val="20"/>
        </w:rPr>
        <w:t>serious</w:t>
      </w:r>
      <w:r w:rsidR="0062136C">
        <w:rPr>
          <w:rFonts w:ascii="Arial" w:hAnsi="Arial"/>
          <w:sz w:val="20"/>
        </w:rPr>
        <w:t xml:space="preserve"> </w:t>
      </w:r>
      <w:r>
        <w:rPr>
          <w:rFonts w:ascii="Arial" w:hAnsi="Arial"/>
          <w:sz w:val="20"/>
        </w:rPr>
        <w:t>adverse drug reactions from post-registration studies taking place in South Africa</w:t>
      </w:r>
      <w:r w:rsidR="0099713D">
        <w:rPr>
          <w:rFonts w:ascii="Arial" w:hAnsi="Arial"/>
          <w:sz w:val="20"/>
        </w:rPr>
        <w:t xml:space="preserve"> must be reported according to 4</w:t>
      </w:r>
      <w:r>
        <w:rPr>
          <w:rFonts w:ascii="Arial" w:hAnsi="Arial"/>
          <w:sz w:val="20"/>
        </w:rPr>
        <w:t xml:space="preserve">.1 above.  This applies to reports from any type of clinical or epidemiological investigation, regardless of design or purpose, involving a </w:t>
      </w:r>
      <w:r w:rsidR="00EC7BF6" w:rsidRPr="007831A0">
        <w:rPr>
          <w:rFonts w:ascii="Arial" w:hAnsi="Arial"/>
          <w:sz w:val="20"/>
        </w:rPr>
        <w:t>medicine</w:t>
      </w:r>
      <w:r w:rsidRPr="007831A0">
        <w:rPr>
          <w:rFonts w:ascii="Arial" w:hAnsi="Arial"/>
          <w:sz w:val="20"/>
        </w:rPr>
        <w:t>.</w:t>
      </w:r>
    </w:p>
    <w:p w:rsidR="00760E87" w:rsidRDefault="00760E87" w:rsidP="00310F5B">
      <w:pPr>
        <w:widowControl/>
        <w:tabs>
          <w:tab w:val="left" w:pos="1247"/>
        </w:tabs>
        <w:suppressAutoHyphens/>
        <w:spacing w:before="120" w:line="280" w:lineRule="atLeast"/>
        <w:ind w:left="1247" w:hanging="567"/>
        <w:jc w:val="both"/>
        <w:rPr>
          <w:rFonts w:ascii="Arial" w:hAnsi="Arial"/>
          <w:sz w:val="20"/>
        </w:rPr>
      </w:pPr>
      <w:r>
        <w:rPr>
          <w:rFonts w:ascii="Arial" w:hAnsi="Arial"/>
          <w:sz w:val="20"/>
        </w:rPr>
        <w:lastRenderedPageBreak/>
        <w:t>(ii)</w:t>
      </w:r>
      <w:r>
        <w:rPr>
          <w:rFonts w:ascii="Arial" w:hAnsi="Arial"/>
          <w:sz w:val="20"/>
        </w:rPr>
        <w:tab/>
        <w:t xml:space="preserve">Investigators involved in post-registration studies should be aware of the definition of </w:t>
      </w:r>
      <w:r w:rsidR="00380A67">
        <w:rPr>
          <w:rFonts w:ascii="Arial" w:hAnsi="Arial"/>
          <w:sz w:val="20"/>
        </w:rPr>
        <w:t xml:space="preserve">what constitutes </w:t>
      </w:r>
      <w:r>
        <w:rPr>
          <w:rFonts w:ascii="Arial" w:hAnsi="Arial"/>
          <w:sz w:val="20"/>
        </w:rPr>
        <w:t xml:space="preserve">a serious adverse drug reaction, as well as the distinction between ‘reactions’ and ‘events’. </w:t>
      </w:r>
    </w:p>
    <w:p w:rsidR="00760E87" w:rsidRDefault="00760E87" w:rsidP="00310F5B">
      <w:pPr>
        <w:widowControl/>
        <w:tabs>
          <w:tab w:val="left" w:pos="1247"/>
        </w:tabs>
        <w:suppressAutoHyphens/>
        <w:spacing w:before="120" w:line="280" w:lineRule="atLeast"/>
        <w:ind w:left="1247" w:hanging="567"/>
        <w:jc w:val="both"/>
        <w:rPr>
          <w:rFonts w:ascii="Arial" w:hAnsi="Arial"/>
          <w:sz w:val="20"/>
        </w:rPr>
      </w:pPr>
      <w:r>
        <w:rPr>
          <w:rFonts w:ascii="Arial" w:hAnsi="Arial"/>
          <w:sz w:val="20"/>
        </w:rPr>
        <w:t>(iii)</w:t>
      </w:r>
      <w:r>
        <w:rPr>
          <w:rFonts w:ascii="Arial" w:hAnsi="Arial"/>
          <w:sz w:val="20"/>
        </w:rPr>
        <w:tab/>
        <w:t>In the case of post-registration studies, adverse “events” are usually systematically solicited.  In cases where there is uncertainty as to whether or not an event is a reaction, the case should be reported as an adverse reaction.  Events that are clearly unrelated to the medicine should not be reported.</w:t>
      </w:r>
    </w:p>
    <w:p w:rsidR="00AC2D5C" w:rsidRDefault="00760E87">
      <w:pPr>
        <w:widowControl/>
        <w:tabs>
          <w:tab w:val="left" w:pos="1247"/>
        </w:tabs>
        <w:suppressAutoHyphens/>
        <w:spacing w:before="120" w:line="280" w:lineRule="atLeast"/>
        <w:ind w:left="1247" w:hanging="567"/>
        <w:jc w:val="both"/>
        <w:rPr>
          <w:rFonts w:ascii="Arial" w:hAnsi="Arial"/>
          <w:sz w:val="20"/>
        </w:rPr>
      </w:pPr>
      <w:r w:rsidRPr="00310F5B">
        <w:rPr>
          <w:rFonts w:ascii="Arial" w:hAnsi="Arial"/>
          <w:sz w:val="20"/>
        </w:rPr>
        <w:t>(iv)</w:t>
      </w:r>
      <w:r w:rsidRPr="00310F5B">
        <w:rPr>
          <w:rFonts w:ascii="Arial" w:hAnsi="Arial"/>
          <w:sz w:val="20"/>
        </w:rPr>
        <w:tab/>
      </w:r>
      <w:r w:rsidR="003C7AC5" w:rsidRPr="0098341A">
        <w:rPr>
          <w:rFonts w:ascii="Arial" w:hAnsi="Arial"/>
          <w:sz w:val="20"/>
        </w:rPr>
        <w:t xml:space="preserve">If the manufacturer receives a report of a serious adverse drug reaction from the investigator who is blinded to individual patient treatment, the guidelines outlined in section (v) below should be adhered to. </w:t>
      </w:r>
    </w:p>
    <w:p w:rsidR="00AC2D5C" w:rsidRDefault="0078395A" w:rsidP="00AD3834">
      <w:pPr>
        <w:widowControl/>
        <w:tabs>
          <w:tab w:val="left" w:pos="1247"/>
        </w:tabs>
        <w:suppressAutoHyphens/>
        <w:spacing w:before="120" w:line="280" w:lineRule="atLeast"/>
        <w:ind w:left="1247" w:hanging="567"/>
        <w:jc w:val="both"/>
        <w:rPr>
          <w:rFonts w:ascii="Arial" w:hAnsi="Arial"/>
          <w:sz w:val="20"/>
        </w:rPr>
      </w:pPr>
      <w:r>
        <w:rPr>
          <w:rFonts w:ascii="Arial" w:hAnsi="Arial"/>
          <w:sz w:val="20"/>
        </w:rPr>
        <w:t>(v)</w:t>
      </w:r>
      <w:r w:rsidR="00AD3834">
        <w:rPr>
          <w:rFonts w:ascii="Arial" w:hAnsi="Arial"/>
          <w:sz w:val="20"/>
        </w:rPr>
        <w:tab/>
      </w:r>
      <w:r w:rsidR="0025100F" w:rsidRPr="0025100F">
        <w:rPr>
          <w:rFonts w:ascii="Arial" w:hAnsi="Arial"/>
          <w:b/>
          <w:sz w:val="20"/>
        </w:rPr>
        <w:t>Managing blinded therapy cases:</w:t>
      </w:r>
      <w:r w:rsidR="00F92DB8">
        <w:rPr>
          <w:rFonts w:ascii="Arial" w:hAnsi="Arial"/>
          <w:b/>
          <w:sz w:val="20"/>
        </w:rPr>
        <w:t xml:space="preserve"> </w:t>
      </w:r>
      <w:r w:rsidR="00030886" w:rsidRPr="0098341A">
        <w:rPr>
          <w:rFonts w:ascii="Arial" w:hAnsi="Arial"/>
          <w:sz w:val="20"/>
        </w:rPr>
        <w:t xml:space="preserve">When a serious, unexpected, suspected adverse reaction occurs which results in death or, which is life-threatening, and is, therefore, judged reportable on an expedited (rapid) basis, it is recommended that the blind be broken only for that specific patient by the sponsor, even if the investigator has not broken the blind.  It is also recommended that, when possible and appropriate, the blind be maintained for those persons responsible for analysis and interpretation of results at the study’s conclusion.  By retaining the blind, placebo and comparator (usually a marketed medicine) cases are filed in the database unnecessarily. </w:t>
      </w:r>
    </w:p>
    <w:p w:rsidR="00AC2D5C" w:rsidRDefault="00030886">
      <w:pPr>
        <w:widowControl/>
        <w:tabs>
          <w:tab w:val="left" w:pos="1247"/>
        </w:tabs>
        <w:suppressAutoHyphens/>
        <w:spacing w:before="120" w:line="280" w:lineRule="atLeast"/>
        <w:ind w:left="1247" w:hanging="567"/>
        <w:jc w:val="both"/>
        <w:rPr>
          <w:rFonts w:ascii="Arial" w:hAnsi="Arial" w:cs="Arial"/>
          <w:sz w:val="20"/>
        </w:rPr>
      </w:pPr>
      <w:r>
        <w:rPr>
          <w:rFonts w:ascii="Arial" w:hAnsi="Arial"/>
          <w:sz w:val="20"/>
        </w:rPr>
        <w:t>(vi)</w:t>
      </w:r>
      <w:r w:rsidR="00C31A11">
        <w:rPr>
          <w:rFonts w:ascii="Arial" w:hAnsi="Arial"/>
          <w:sz w:val="20"/>
        </w:rPr>
        <w:tab/>
      </w:r>
      <w:r w:rsidR="00760E87" w:rsidRPr="0098341A">
        <w:rPr>
          <w:rFonts w:ascii="Arial" w:hAnsi="Arial"/>
          <w:sz w:val="20"/>
        </w:rPr>
        <w:t>When</w:t>
      </w:r>
      <w:r w:rsidR="00760E87" w:rsidRPr="00CD350D">
        <w:rPr>
          <w:rFonts w:ascii="Arial" w:hAnsi="Arial" w:cs="Arial"/>
          <w:sz w:val="20"/>
        </w:rPr>
        <w:t xml:space="preserve"> a fatal or other serious outcome is the primary efficacy endpoint in a clinical trial, the </w:t>
      </w:r>
      <w:r w:rsidR="00760E87" w:rsidRPr="007831A0">
        <w:rPr>
          <w:rFonts w:ascii="Arial" w:hAnsi="Arial" w:cs="Arial"/>
          <w:sz w:val="20"/>
        </w:rPr>
        <w:t xml:space="preserve">integrity of the clinical trial may be compromised if the blind is broken.  Under these and similar circumstances, agreement should be reached in advance with </w:t>
      </w:r>
      <w:r w:rsidR="008442D3" w:rsidRPr="00D56B6E">
        <w:rPr>
          <w:rFonts w:ascii="Arial" w:hAnsi="Arial" w:cs="Arial"/>
          <w:sz w:val="20"/>
        </w:rPr>
        <w:t xml:space="preserve">the </w:t>
      </w:r>
      <w:r w:rsidR="008442D3" w:rsidRPr="00005FC8">
        <w:rPr>
          <w:rFonts w:ascii="Arial" w:hAnsi="Arial" w:cs="Arial"/>
          <w:sz w:val="20"/>
        </w:rPr>
        <w:t>Authority</w:t>
      </w:r>
      <w:r w:rsidR="00F92DB8">
        <w:rPr>
          <w:rFonts w:ascii="Arial" w:hAnsi="Arial" w:cs="Arial"/>
          <w:sz w:val="20"/>
        </w:rPr>
        <w:t xml:space="preserve"> </w:t>
      </w:r>
      <w:r w:rsidR="00760E87" w:rsidRPr="007831A0">
        <w:rPr>
          <w:rFonts w:ascii="Arial" w:hAnsi="Arial" w:cs="Arial"/>
          <w:sz w:val="20"/>
        </w:rPr>
        <w:t>concerning serious events that would be treated as disease-related and not subject to expedited reporting.</w:t>
      </w:r>
      <w:r w:rsidR="00F92DB8">
        <w:rPr>
          <w:rFonts w:ascii="Arial" w:hAnsi="Arial" w:cs="Arial"/>
          <w:sz w:val="20"/>
        </w:rPr>
        <w:t xml:space="preserve"> </w:t>
      </w:r>
      <w:r w:rsidR="00005FC8">
        <w:rPr>
          <w:rFonts w:ascii="Arial" w:hAnsi="Arial" w:cs="Arial"/>
          <w:sz w:val="20"/>
        </w:rPr>
        <w:t xml:space="preserve"> </w:t>
      </w:r>
      <w:r w:rsidR="00760E87" w:rsidRPr="007831A0">
        <w:rPr>
          <w:rFonts w:ascii="Arial" w:hAnsi="Arial" w:cs="Arial"/>
          <w:sz w:val="20"/>
        </w:rPr>
        <w:t xml:space="preserve">An independent data safety monitoring board should be established prior to commencement of the trial, and its composition and terms of reference, should be submitted with the clinical trial application documents to </w:t>
      </w:r>
      <w:r w:rsidR="008442D3" w:rsidRPr="00B1755D">
        <w:rPr>
          <w:rFonts w:ascii="Arial" w:hAnsi="Arial" w:cs="Arial"/>
          <w:sz w:val="20"/>
        </w:rPr>
        <w:t xml:space="preserve">the </w:t>
      </w:r>
      <w:r w:rsidR="008442D3" w:rsidRPr="00005FC8">
        <w:rPr>
          <w:rFonts w:ascii="Arial" w:hAnsi="Arial" w:cs="Arial"/>
          <w:sz w:val="20"/>
        </w:rPr>
        <w:t>Authority</w:t>
      </w:r>
      <w:r w:rsidR="00F92DB8">
        <w:rPr>
          <w:rFonts w:ascii="Arial" w:hAnsi="Arial" w:cs="Arial"/>
          <w:sz w:val="20"/>
        </w:rPr>
        <w:t xml:space="preserve"> </w:t>
      </w:r>
      <w:r w:rsidR="00760E87" w:rsidRPr="007831A0">
        <w:rPr>
          <w:rFonts w:ascii="Arial" w:hAnsi="Arial" w:cs="Arial"/>
          <w:sz w:val="20"/>
        </w:rPr>
        <w:t xml:space="preserve">for evaluation. </w:t>
      </w:r>
    </w:p>
    <w:p w:rsidR="00760E87" w:rsidRPr="007831A0" w:rsidRDefault="00A64F63" w:rsidP="0056753E">
      <w:pPr>
        <w:pStyle w:val="Heading2"/>
      </w:pPr>
      <w:bookmarkStart w:id="66" w:name="_Toc396005421"/>
      <w:bookmarkStart w:id="67" w:name="_Toc5282791"/>
      <w:r w:rsidRPr="007831A0">
        <w:t>4</w:t>
      </w:r>
      <w:r w:rsidR="00760E87" w:rsidRPr="007831A0">
        <w:t>.6</w:t>
      </w:r>
      <w:r w:rsidR="00760E87" w:rsidRPr="007831A0">
        <w:tab/>
        <w:t>On-Going Pharmacovigilance Evaluation</w:t>
      </w:r>
      <w:bookmarkEnd w:id="66"/>
      <w:bookmarkEnd w:id="67"/>
    </w:p>
    <w:p w:rsidR="003A2715" w:rsidRPr="007831A0" w:rsidRDefault="003A2715" w:rsidP="001F6945">
      <w:pPr>
        <w:spacing w:before="120" w:line="280" w:lineRule="atLeast"/>
        <w:ind w:left="680"/>
        <w:jc w:val="both"/>
        <w:rPr>
          <w:rFonts w:ascii="Arial" w:hAnsi="Arial" w:cs="Arial"/>
          <w:sz w:val="20"/>
        </w:rPr>
      </w:pPr>
      <w:r w:rsidRPr="007831A0">
        <w:rPr>
          <w:rFonts w:ascii="Arial" w:hAnsi="Arial" w:cs="Arial"/>
          <w:sz w:val="20"/>
        </w:rPr>
        <w:t xml:space="preserve">It should be noted that the requirements for on-going Pharmacovigilance Evaluation as described in this section takes precedence </w:t>
      </w:r>
      <w:r w:rsidR="003C436B" w:rsidRPr="007831A0">
        <w:rPr>
          <w:rFonts w:ascii="Arial" w:hAnsi="Arial" w:cs="Arial"/>
          <w:sz w:val="20"/>
        </w:rPr>
        <w:t xml:space="preserve">over </w:t>
      </w:r>
      <w:r w:rsidRPr="007831A0">
        <w:rPr>
          <w:rFonts w:ascii="Arial" w:hAnsi="Arial" w:cs="Arial"/>
          <w:sz w:val="20"/>
        </w:rPr>
        <w:t>other cumulative ADR reporting requirements mention</w:t>
      </w:r>
      <w:r w:rsidR="004E45E4">
        <w:rPr>
          <w:rFonts w:ascii="Arial" w:hAnsi="Arial" w:cs="Arial"/>
          <w:sz w:val="20"/>
        </w:rPr>
        <w:t>ed in this guideline, such as</w:t>
      </w:r>
      <w:r w:rsidRPr="007831A0">
        <w:rPr>
          <w:rFonts w:ascii="Arial" w:hAnsi="Arial" w:cs="Arial"/>
          <w:sz w:val="20"/>
        </w:rPr>
        <w:t xml:space="preserve"> the Summary Rep</w:t>
      </w:r>
      <w:r w:rsidR="004E45E4">
        <w:rPr>
          <w:rFonts w:ascii="Arial" w:hAnsi="Arial" w:cs="Arial"/>
          <w:sz w:val="20"/>
        </w:rPr>
        <w:t>ort (i.e. the submission of the</w:t>
      </w:r>
      <w:r w:rsidRPr="007831A0">
        <w:rPr>
          <w:rFonts w:ascii="Arial" w:hAnsi="Arial" w:cs="Arial"/>
          <w:sz w:val="20"/>
        </w:rPr>
        <w:t xml:space="preserve"> Summary Report do not replace the requirements for reporting stipulated in this section)</w:t>
      </w:r>
      <w:r w:rsidR="0042436A" w:rsidRPr="007831A0">
        <w:rPr>
          <w:rFonts w:ascii="Arial" w:hAnsi="Arial" w:cs="Arial"/>
          <w:sz w:val="20"/>
        </w:rPr>
        <w:t>.</w:t>
      </w:r>
    </w:p>
    <w:p w:rsidR="00760E87" w:rsidRDefault="002C5C91" w:rsidP="0042436A">
      <w:pPr>
        <w:widowControl/>
        <w:numPr>
          <w:ilvl w:val="0"/>
          <w:numId w:val="4"/>
        </w:numPr>
        <w:tabs>
          <w:tab w:val="clear" w:pos="1146"/>
          <w:tab w:val="left" w:pos="1247"/>
        </w:tabs>
        <w:suppressAutoHyphens/>
        <w:spacing w:before="100" w:line="280" w:lineRule="atLeast"/>
        <w:ind w:left="1247" w:hanging="567"/>
        <w:jc w:val="both"/>
        <w:rPr>
          <w:rFonts w:ascii="Arial" w:hAnsi="Arial"/>
          <w:sz w:val="20"/>
        </w:rPr>
      </w:pPr>
      <w:r w:rsidRPr="007831A0">
        <w:rPr>
          <w:rFonts w:ascii="Arial" w:hAnsi="Arial"/>
          <w:sz w:val="20"/>
        </w:rPr>
        <w:t>Holders</w:t>
      </w:r>
      <w:r w:rsidR="00F92DB8">
        <w:rPr>
          <w:rFonts w:ascii="Arial" w:hAnsi="Arial"/>
          <w:sz w:val="20"/>
        </w:rPr>
        <w:t xml:space="preserve"> </w:t>
      </w:r>
      <w:r w:rsidRPr="007831A0">
        <w:rPr>
          <w:rFonts w:ascii="Arial" w:hAnsi="Arial"/>
          <w:sz w:val="20"/>
        </w:rPr>
        <w:t>or a</w:t>
      </w:r>
      <w:r w:rsidR="0042436A" w:rsidRPr="007831A0">
        <w:rPr>
          <w:rFonts w:ascii="Arial" w:hAnsi="Arial"/>
          <w:sz w:val="20"/>
        </w:rPr>
        <w:t>pplicants</w:t>
      </w:r>
      <w:r w:rsidR="00F92DB8">
        <w:rPr>
          <w:rFonts w:ascii="Arial" w:hAnsi="Arial"/>
          <w:sz w:val="20"/>
        </w:rPr>
        <w:t xml:space="preserve"> </w:t>
      </w:r>
      <w:r w:rsidR="00760E87" w:rsidRPr="007831A0">
        <w:rPr>
          <w:rFonts w:ascii="Arial" w:hAnsi="Arial"/>
          <w:sz w:val="20"/>
        </w:rPr>
        <w:t xml:space="preserve">must inform the </w:t>
      </w:r>
      <w:r w:rsidR="008442D3" w:rsidRPr="00005FC8">
        <w:rPr>
          <w:rFonts w:ascii="Arial" w:hAnsi="Arial"/>
          <w:sz w:val="20"/>
        </w:rPr>
        <w:t>Authority</w:t>
      </w:r>
      <w:r w:rsidR="00760E87" w:rsidRPr="00B1755D">
        <w:rPr>
          <w:rFonts w:ascii="Arial" w:hAnsi="Arial"/>
          <w:sz w:val="20"/>
        </w:rPr>
        <w:t>,</w:t>
      </w:r>
      <w:r w:rsidR="00760E87" w:rsidRPr="007831A0">
        <w:rPr>
          <w:rFonts w:ascii="Arial" w:hAnsi="Arial"/>
          <w:sz w:val="20"/>
        </w:rPr>
        <w:t xml:space="preserve"> within </w:t>
      </w:r>
      <w:r w:rsidR="002C4791" w:rsidRPr="007831A0">
        <w:rPr>
          <w:rFonts w:ascii="Arial" w:hAnsi="Arial"/>
          <w:sz w:val="20"/>
        </w:rPr>
        <w:t xml:space="preserve">three </w:t>
      </w:r>
      <w:r w:rsidR="00EC7BF6" w:rsidRPr="007831A0">
        <w:rPr>
          <w:rFonts w:ascii="Arial" w:hAnsi="Arial"/>
          <w:sz w:val="20"/>
        </w:rPr>
        <w:t xml:space="preserve">(3) </w:t>
      </w:r>
      <w:r w:rsidR="00760E87" w:rsidRPr="007831A0">
        <w:rPr>
          <w:rFonts w:ascii="Arial" w:hAnsi="Arial"/>
          <w:sz w:val="20"/>
        </w:rPr>
        <w:t>calendar days of first knowledge, whenever new evidence becomes available (nationally and internationally) that could significantly</w:t>
      </w:r>
      <w:r w:rsidR="00760E87">
        <w:rPr>
          <w:rFonts w:ascii="Arial" w:hAnsi="Arial"/>
          <w:sz w:val="20"/>
        </w:rPr>
        <w:t xml:space="preserve"> impact on the benefit/risk assessment of a medicine or which would be sufficient to consider changes to the conditions of registration of the medicine.</w:t>
      </w:r>
    </w:p>
    <w:p w:rsidR="00760E87" w:rsidRPr="007831A0" w:rsidRDefault="00CF6B9C" w:rsidP="0042436A">
      <w:pPr>
        <w:widowControl/>
        <w:numPr>
          <w:ilvl w:val="0"/>
          <w:numId w:val="4"/>
        </w:numPr>
        <w:tabs>
          <w:tab w:val="clear" w:pos="1146"/>
          <w:tab w:val="left" w:pos="1247"/>
        </w:tabs>
        <w:suppressAutoHyphens/>
        <w:spacing w:before="100" w:line="280" w:lineRule="atLeast"/>
        <w:ind w:left="1247" w:hanging="567"/>
        <w:jc w:val="both"/>
        <w:rPr>
          <w:rFonts w:ascii="Arial" w:hAnsi="Arial"/>
          <w:sz w:val="20"/>
        </w:rPr>
      </w:pPr>
      <w:r w:rsidRPr="00CF6B9C">
        <w:rPr>
          <w:rFonts w:ascii="Arial" w:hAnsi="Arial"/>
          <w:sz w:val="20"/>
        </w:rPr>
        <w:t>Holders</w:t>
      </w:r>
      <w:r w:rsidR="00F92DB8">
        <w:rPr>
          <w:rFonts w:ascii="Arial" w:hAnsi="Arial"/>
          <w:sz w:val="20"/>
        </w:rPr>
        <w:t xml:space="preserve"> </w:t>
      </w:r>
      <w:r w:rsidRPr="007831A0">
        <w:rPr>
          <w:rFonts w:ascii="Arial" w:hAnsi="Arial"/>
          <w:sz w:val="20"/>
        </w:rPr>
        <w:t xml:space="preserve">or applicants </w:t>
      </w:r>
      <w:r w:rsidR="00760E87" w:rsidRPr="007831A0">
        <w:rPr>
          <w:rFonts w:ascii="Arial" w:hAnsi="Arial"/>
          <w:sz w:val="20"/>
        </w:rPr>
        <w:t xml:space="preserve">must report any change in the nature, severity or frequency of expected adverse drug reactions or any new risk factors identified within </w:t>
      </w:r>
      <w:r w:rsidR="00250E43">
        <w:rPr>
          <w:rFonts w:ascii="Arial" w:hAnsi="Arial"/>
          <w:sz w:val="20"/>
        </w:rPr>
        <w:t>three (</w:t>
      </w:r>
      <w:r w:rsidR="003C1F7F" w:rsidRPr="00250E43">
        <w:rPr>
          <w:rFonts w:ascii="Arial" w:hAnsi="Arial"/>
          <w:sz w:val="20"/>
        </w:rPr>
        <w:t>3</w:t>
      </w:r>
      <w:r w:rsidR="003C1F7F">
        <w:rPr>
          <w:rFonts w:ascii="Arial" w:hAnsi="Arial"/>
          <w:sz w:val="20"/>
        </w:rPr>
        <w:t>)</w:t>
      </w:r>
      <w:r w:rsidR="003C1F7F" w:rsidRPr="007831A0">
        <w:rPr>
          <w:rFonts w:ascii="Arial" w:hAnsi="Arial"/>
          <w:sz w:val="20"/>
        </w:rPr>
        <w:t xml:space="preserve"> calendar</w:t>
      </w:r>
      <w:r w:rsidR="00760E87" w:rsidRPr="007831A0">
        <w:rPr>
          <w:rFonts w:ascii="Arial" w:hAnsi="Arial"/>
          <w:sz w:val="20"/>
        </w:rPr>
        <w:t xml:space="preserve"> days.  The basis on which these assessments are made should be included.</w:t>
      </w:r>
    </w:p>
    <w:p w:rsidR="00760E87" w:rsidRPr="007831A0" w:rsidRDefault="00760E87" w:rsidP="0042436A">
      <w:pPr>
        <w:widowControl/>
        <w:numPr>
          <w:ilvl w:val="0"/>
          <w:numId w:val="4"/>
        </w:numPr>
        <w:tabs>
          <w:tab w:val="clear" w:pos="1146"/>
          <w:tab w:val="left" w:pos="1247"/>
        </w:tabs>
        <w:suppressAutoHyphens/>
        <w:spacing w:before="100" w:line="280" w:lineRule="atLeast"/>
        <w:ind w:left="1247" w:hanging="567"/>
        <w:jc w:val="both"/>
        <w:rPr>
          <w:rFonts w:ascii="Arial" w:hAnsi="Arial"/>
          <w:sz w:val="20"/>
        </w:rPr>
      </w:pPr>
      <w:r w:rsidRPr="007831A0">
        <w:rPr>
          <w:rFonts w:ascii="Arial" w:hAnsi="Arial"/>
          <w:sz w:val="20"/>
        </w:rPr>
        <w:t xml:space="preserve">Additional pharmacovigilance data, such as actual case reports, drug usage figures, the regulatory status of the </w:t>
      </w:r>
      <w:r w:rsidR="00A45F24" w:rsidRPr="007831A0">
        <w:rPr>
          <w:rFonts w:ascii="Arial" w:hAnsi="Arial"/>
          <w:sz w:val="20"/>
        </w:rPr>
        <w:t>medicine</w:t>
      </w:r>
      <w:r w:rsidRPr="007831A0">
        <w:rPr>
          <w:rFonts w:ascii="Arial" w:hAnsi="Arial"/>
          <w:sz w:val="20"/>
        </w:rPr>
        <w:t xml:space="preserve"> in other </w:t>
      </w:r>
      <w:r w:rsidR="00E22BB0" w:rsidRPr="007831A0">
        <w:rPr>
          <w:rFonts w:ascii="Arial" w:hAnsi="Arial"/>
          <w:sz w:val="20"/>
        </w:rPr>
        <w:t xml:space="preserve">countries, independent </w:t>
      </w:r>
      <w:proofErr w:type="spellStart"/>
      <w:r w:rsidR="00E22BB0" w:rsidRPr="007831A0">
        <w:rPr>
          <w:rFonts w:ascii="Arial" w:hAnsi="Arial"/>
          <w:sz w:val="20"/>
        </w:rPr>
        <w:t>pharmaco</w:t>
      </w:r>
      <w:proofErr w:type="spellEnd"/>
      <w:r w:rsidR="00EC1176" w:rsidRPr="007831A0">
        <w:rPr>
          <w:rFonts w:ascii="Arial" w:hAnsi="Arial"/>
          <w:sz w:val="20"/>
        </w:rPr>
        <w:t>-</w:t>
      </w:r>
      <w:r w:rsidRPr="007831A0">
        <w:rPr>
          <w:rFonts w:ascii="Arial" w:hAnsi="Arial"/>
          <w:sz w:val="20"/>
        </w:rPr>
        <w:t xml:space="preserve">epidemiology studies, pre-clinical studies or significant product quality data may be requested by the </w:t>
      </w:r>
      <w:r w:rsidR="008442D3" w:rsidRPr="00005FC8">
        <w:rPr>
          <w:rFonts w:ascii="Arial" w:hAnsi="Arial"/>
          <w:sz w:val="20"/>
        </w:rPr>
        <w:t>Authority</w:t>
      </w:r>
      <w:r w:rsidR="00F92DB8">
        <w:rPr>
          <w:rFonts w:ascii="Arial" w:hAnsi="Arial"/>
          <w:sz w:val="20"/>
        </w:rPr>
        <w:t xml:space="preserve"> </w:t>
      </w:r>
      <w:r w:rsidRPr="007831A0">
        <w:rPr>
          <w:rFonts w:ascii="Arial" w:hAnsi="Arial"/>
          <w:sz w:val="20"/>
        </w:rPr>
        <w:t xml:space="preserve">as the situation warrants.  This will be requested for submission within a time period specified by the </w:t>
      </w:r>
      <w:r w:rsidR="008442D3" w:rsidRPr="00005FC8">
        <w:rPr>
          <w:rFonts w:ascii="Arial" w:hAnsi="Arial"/>
          <w:sz w:val="20"/>
        </w:rPr>
        <w:t>Authority</w:t>
      </w:r>
      <w:r w:rsidRPr="007831A0">
        <w:rPr>
          <w:rFonts w:ascii="Arial" w:hAnsi="Arial"/>
          <w:sz w:val="20"/>
        </w:rPr>
        <w:t>.</w:t>
      </w:r>
    </w:p>
    <w:p w:rsidR="00760E87" w:rsidRPr="007831A0" w:rsidRDefault="00A64F63" w:rsidP="0056753E">
      <w:pPr>
        <w:pStyle w:val="Heading2"/>
      </w:pPr>
      <w:bookmarkStart w:id="68" w:name="_Toc396005422"/>
      <w:bookmarkStart w:id="69" w:name="_Toc5282792"/>
      <w:r w:rsidRPr="007831A0">
        <w:lastRenderedPageBreak/>
        <w:t>4</w:t>
      </w:r>
      <w:r w:rsidR="00760E87" w:rsidRPr="007831A0">
        <w:t>.7</w:t>
      </w:r>
      <w:r w:rsidR="00760E87" w:rsidRPr="007831A0">
        <w:tab/>
        <w:t>Consumer Reports</w:t>
      </w:r>
      <w:bookmarkEnd w:id="68"/>
      <w:bookmarkEnd w:id="69"/>
    </w:p>
    <w:p w:rsidR="00760E87" w:rsidRPr="007831A0" w:rsidRDefault="00760E87" w:rsidP="0042436A">
      <w:pPr>
        <w:widowControl/>
        <w:suppressAutoHyphens/>
        <w:spacing w:before="120" w:line="280" w:lineRule="atLeast"/>
        <w:ind w:left="680"/>
        <w:jc w:val="both"/>
        <w:rPr>
          <w:rFonts w:ascii="Arial" w:hAnsi="Arial" w:cs="Arial"/>
          <w:sz w:val="20"/>
        </w:rPr>
      </w:pPr>
      <w:r w:rsidRPr="007831A0">
        <w:rPr>
          <w:rFonts w:ascii="Arial" w:hAnsi="Arial" w:cs="Arial"/>
          <w:sz w:val="20"/>
        </w:rPr>
        <w:t xml:space="preserve">If </w:t>
      </w:r>
      <w:r w:rsidR="002C5C91" w:rsidRPr="007831A0">
        <w:rPr>
          <w:rFonts w:ascii="Arial" w:hAnsi="Arial" w:cs="Arial"/>
          <w:sz w:val="20"/>
        </w:rPr>
        <w:t xml:space="preserve">a </w:t>
      </w:r>
      <w:r w:rsidR="00CF6B9C" w:rsidRPr="007831A0">
        <w:rPr>
          <w:rFonts w:ascii="Arial" w:hAnsi="Arial"/>
          <w:sz w:val="20"/>
        </w:rPr>
        <w:t xml:space="preserve">holder or applicant </w:t>
      </w:r>
      <w:r w:rsidRPr="007831A0">
        <w:rPr>
          <w:rFonts w:ascii="Arial" w:hAnsi="Arial" w:cs="Arial"/>
          <w:sz w:val="20"/>
        </w:rPr>
        <w:t>receives an adverse drug reaction report from a consumer, the</w:t>
      </w:r>
      <w:r w:rsidR="00F92DB8">
        <w:rPr>
          <w:rFonts w:ascii="Arial" w:hAnsi="Arial" w:cs="Arial"/>
          <w:sz w:val="20"/>
        </w:rPr>
        <w:t xml:space="preserve"> </w:t>
      </w:r>
      <w:r w:rsidR="00CF6B9C" w:rsidRPr="007831A0">
        <w:rPr>
          <w:rFonts w:ascii="Arial" w:hAnsi="Arial"/>
          <w:sz w:val="20"/>
        </w:rPr>
        <w:t xml:space="preserve">holder or applicant </w:t>
      </w:r>
      <w:r w:rsidRPr="007831A0">
        <w:rPr>
          <w:rFonts w:ascii="Arial" w:hAnsi="Arial" w:cs="Arial"/>
          <w:sz w:val="20"/>
        </w:rPr>
        <w:t xml:space="preserve">should advise the consumer to report this reaction through his/her </w:t>
      </w:r>
      <w:r w:rsidR="00CF6B9C" w:rsidRPr="007831A0">
        <w:rPr>
          <w:rFonts w:ascii="Arial" w:hAnsi="Arial" w:cs="Arial"/>
          <w:sz w:val="20"/>
        </w:rPr>
        <w:t>health</w:t>
      </w:r>
      <w:r w:rsidR="000E7F0E" w:rsidRPr="007831A0">
        <w:rPr>
          <w:rFonts w:ascii="Arial" w:hAnsi="Arial" w:cs="Arial"/>
          <w:sz w:val="20"/>
        </w:rPr>
        <w:t>care provider</w:t>
      </w:r>
      <w:r w:rsidR="000233CF" w:rsidRPr="007831A0">
        <w:rPr>
          <w:rFonts w:ascii="Arial" w:hAnsi="Arial" w:cs="Arial"/>
          <w:sz w:val="20"/>
        </w:rPr>
        <w:t xml:space="preserve"> / </w:t>
      </w:r>
      <w:r w:rsidR="004D6D67" w:rsidRPr="007831A0">
        <w:rPr>
          <w:rFonts w:ascii="Arial" w:hAnsi="Arial" w:cs="Arial"/>
          <w:sz w:val="20"/>
        </w:rPr>
        <w:t>professional</w:t>
      </w:r>
      <w:r w:rsidRPr="007831A0">
        <w:rPr>
          <w:rFonts w:ascii="Arial" w:hAnsi="Arial" w:cs="Arial"/>
          <w:sz w:val="20"/>
        </w:rPr>
        <w:t>.  If this approach fails, the</w:t>
      </w:r>
      <w:r w:rsidR="00F92DB8">
        <w:rPr>
          <w:rFonts w:ascii="Arial" w:hAnsi="Arial" w:cs="Arial"/>
          <w:sz w:val="20"/>
        </w:rPr>
        <w:t xml:space="preserve"> </w:t>
      </w:r>
      <w:r w:rsidR="00CF6B9C" w:rsidRPr="007831A0">
        <w:rPr>
          <w:rFonts w:ascii="Arial" w:hAnsi="Arial"/>
          <w:sz w:val="20"/>
        </w:rPr>
        <w:t xml:space="preserve">holder or applicant </w:t>
      </w:r>
      <w:r w:rsidRPr="007831A0">
        <w:rPr>
          <w:rFonts w:ascii="Arial" w:hAnsi="Arial" w:cs="Arial"/>
          <w:sz w:val="20"/>
        </w:rPr>
        <w:t>should attempt to obtain as much information as possible from the consumer, including medical documentation.  If the</w:t>
      </w:r>
      <w:r w:rsidR="00F360E3">
        <w:rPr>
          <w:rFonts w:ascii="Arial" w:hAnsi="Arial" w:cs="Arial"/>
          <w:sz w:val="20"/>
        </w:rPr>
        <w:t xml:space="preserve"> four</w:t>
      </w:r>
      <w:r w:rsidRPr="007831A0">
        <w:rPr>
          <w:rFonts w:ascii="Arial" w:hAnsi="Arial" w:cs="Arial"/>
          <w:sz w:val="20"/>
        </w:rPr>
        <w:t xml:space="preserve"> minimum </w:t>
      </w:r>
      <w:r w:rsidR="00F360E3">
        <w:rPr>
          <w:rFonts w:ascii="Arial" w:hAnsi="Arial" w:cs="Arial"/>
          <w:sz w:val="20"/>
        </w:rPr>
        <w:t xml:space="preserve">data elements </w:t>
      </w:r>
      <w:r w:rsidRPr="007831A0">
        <w:rPr>
          <w:rFonts w:ascii="Arial" w:hAnsi="Arial" w:cs="Arial"/>
          <w:sz w:val="20"/>
        </w:rPr>
        <w:t>for reporting has been met, and the report is deemed to be relevant by a health</w:t>
      </w:r>
      <w:r w:rsidR="00666B09" w:rsidRPr="007831A0">
        <w:rPr>
          <w:rFonts w:ascii="Arial" w:hAnsi="Arial" w:cs="Arial"/>
          <w:sz w:val="20"/>
        </w:rPr>
        <w:t xml:space="preserve">care </w:t>
      </w:r>
      <w:r w:rsidR="000E7F0E" w:rsidRPr="007831A0">
        <w:rPr>
          <w:rFonts w:ascii="Arial" w:hAnsi="Arial" w:cs="Arial"/>
          <w:sz w:val="20"/>
        </w:rPr>
        <w:t>provider</w:t>
      </w:r>
      <w:r w:rsidR="004D6D67" w:rsidRPr="007831A0">
        <w:rPr>
          <w:rFonts w:ascii="Arial" w:hAnsi="Arial" w:cs="Arial"/>
          <w:sz w:val="20"/>
        </w:rPr>
        <w:t xml:space="preserve"> / professional</w:t>
      </w:r>
      <w:r w:rsidR="00F92DB8">
        <w:rPr>
          <w:rFonts w:ascii="Arial" w:hAnsi="Arial" w:cs="Arial"/>
          <w:sz w:val="20"/>
        </w:rPr>
        <w:t xml:space="preserve"> </w:t>
      </w:r>
      <w:r w:rsidRPr="007831A0">
        <w:rPr>
          <w:rFonts w:ascii="Arial" w:hAnsi="Arial" w:cs="Arial"/>
          <w:sz w:val="20"/>
        </w:rPr>
        <w:t>within the company, the case is consi</w:t>
      </w:r>
      <w:r w:rsidR="0099713D" w:rsidRPr="007831A0">
        <w:rPr>
          <w:rFonts w:ascii="Arial" w:hAnsi="Arial" w:cs="Arial"/>
          <w:sz w:val="20"/>
        </w:rPr>
        <w:t>dered reportable, in line with 4</w:t>
      </w:r>
      <w:r w:rsidRPr="007831A0">
        <w:rPr>
          <w:rFonts w:ascii="Arial" w:hAnsi="Arial" w:cs="Arial"/>
          <w:sz w:val="20"/>
        </w:rPr>
        <w:t>.1 (</w:t>
      </w:r>
      <w:proofErr w:type="spellStart"/>
      <w:r w:rsidRPr="007831A0">
        <w:rPr>
          <w:rFonts w:ascii="Arial" w:hAnsi="Arial" w:cs="Arial"/>
          <w:sz w:val="20"/>
        </w:rPr>
        <w:t>i</w:t>
      </w:r>
      <w:proofErr w:type="spellEnd"/>
      <w:r w:rsidRPr="007831A0">
        <w:rPr>
          <w:rFonts w:ascii="Arial" w:hAnsi="Arial" w:cs="Arial"/>
          <w:sz w:val="20"/>
        </w:rPr>
        <w:t>) and (ii).</w:t>
      </w:r>
    </w:p>
    <w:p w:rsidR="00760E87" w:rsidRPr="007831A0" w:rsidRDefault="00A64F63" w:rsidP="0056753E">
      <w:pPr>
        <w:pStyle w:val="Heading2"/>
      </w:pPr>
      <w:bookmarkStart w:id="70" w:name="_Toc396005423"/>
      <w:bookmarkStart w:id="71" w:name="_Toc5282793"/>
      <w:r w:rsidRPr="007831A0">
        <w:t>4</w:t>
      </w:r>
      <w:r w:rsidR="00832319" w:rsidRPr="007831A0">
        <w:t>.8</w:t>
      </w:r>
      <w:r w:rsidR="00832319" w:rsidRPr="007831A0">
        <w:tab/>
      </w:r>
      <w:r w:rsidR="00760E87" w:rsidRPr="007831A0">
        <w:t>Reports relating to pregnancy and breastfeeding</w:t>
      </w:r>
      <w:bookmarkEnd w:id="70"/>
      <w:bookmarkEnd w:id="71"/>
    </w:p>
    <w:p w:rsidR="00BD6AF4" w:rsidRPr="007831A0" w:rsidRDefault="00760E87" w:rsidP="0042436A">
      <w:pPr>
        <w:widowControl/>
        <w:suppressAutoHyphens/>
        <w:spacing w:before="120" w:line="280" w:lineRule="atLeast"/>
        <w:ind w:left="680"/>
        <w:jc w:val="both"/>
        <w:rPr>
          <w:rFonts w:ascii="Arial" w:hAnsi="Arial"/>
          <w:sz w:val="20"/>
        </w:rPr>
      </w:pPr>
      <w:r w:rsidRPr="007831A0">
        <w:rPr>
          <w:rFonts w:ascii="Arial" w:hAnsi="Arial"/>
          <w:sz w:val="20"/>
        </w:rPr>
        <w:t>The</w:t>
      </w:r>
      <w:r w:rsidR="00F92DB8">
        <w:rPr>
          <w:rFonts w:ascii="Arial" w:hAnsi="Arial"/>
          <w:sz w:val="20"/>
        </w:rPr>
        <w:t xml:space="preserve"> </w:t>
      </w:r>
      <w:r w:rsidR="00CF6B9C" w:rsidRPr="007831A0">
        <w:rPr>
          <w:rFonts w:ascii="Arial" w:hAnsi="Arial"/>
          <w:sz w:val="20"/>
        </w:rPr>
        <w:t xml:space="preserve">holder or applicant </w:t>
      </w:r>
      <w:r w:rsidRPr="007831A0">
        <w:rPr>
          <w:rFonts w:ascii="Arial" w:hAnsi="Arial"/>
          <w:sz w:val="20"/>
        </w:rPr>
        <w:t>must report suspected adverse drug reactions related to pregnancy or breastfeeding as speci</w:t>
      </w:r>
      <w:r w:rsidR="00E87DFA">
        <w:rPr>
          <w:rFonts w:ascii="Arial" w:hAnsi="Arial"/>
          <w:sz w:val="20"/>
        </w:rPr>
        <w:t xml:space="preserve">fied in 4.1 </w:t>
      </w:r>
      <w:r w:rsidR="0099713D" w:rsidRPr="007831A0">
        <w:rPr>
          <w:rFonts w:ascii="Arial" w:hAnsi="Arial"/>
          <w:sz w:val="20"/>
        </w:rPr>
        <w:t>and 4</w:t>
      </w:r>
      <w:r w:rsidRPr="007831A0">
        <w:rPr>
          <w:rFonts w:ascii="Arial" w:hAnsi="Arial"/>
          <w:sz w:val="20"/>
        </w:rPr>
        <w:t xml:space="preserve">.2 above, regardless of whether the drug is contra-indicated in pregnancy and/or lactation.  Reports on pregnancy should not be forwarded before the outcome is known, unless unintended pregnancy is suspected as an adverse drug reaction.  Reports on pregnancy should not be submitted if there is no adverse effect to the foetus/infant.  Reports of termination of pregnancy without information on congenital malformation should not </w:t>
      </w:r>
      <w:r w:rsidR="00D242E9" w:rsidRPr="007831A0">
        <w:rPr>
          <w:rFonts w:ascii="Arial" w:hAnsi="Arial"/>
          <w:sz w:val="20"/>
        </w:rPr>
        <w:t xml:space="preserve">routinely </w:t>
      </w:r>
      <w:r w:rsidRPr="007831A0">
        <w:rPr>
          <w:rFonts w:ascii="Arial" w:hAnsi="Arial"/>
          <w:sz w:val="20"/>
        </w:rPr>
        <w:t>be reported.</w:t>
      </w:r>
    </w:p>
    <w:p w:rsidR="00D242E9" w:rsidRPr="007831A0" w:rsidRDefault="00A64F63" w:rsidP="00F95DF0">
      <w:pPr>
        <w:pStyle w:val="Heading2"/>
      </w:pPr>
      <w:bookmarkStart w:id="72" w:name="_Toc447708267"/>
      <w:bookmarkStart w:id="73" w:name="_Toc5282794"/>
      <w:bookmarkStart w:id="74" w:name="_Toc396005424"/>
      <w:r w:rsidRPr="007831A0">
        <w:t>4</w:t>
      </w:r>
      <w:r w:rsidR="00760E87" w:rsidRPr="007831A0">
        <w:t>.9</w:t>
      </w:r>
      <w:r w:rsidR="00760E87" w:rsidRPr="007831A0">
        <w:tab/>
      </w:r>
      <w:r w:rsidR="00D242E9" w:rsidRPr="007831A0">
        <w:t>Teratogenicity and Congenital Anomalies</w:t>
      </w:r>
      <w:bookmarkEnd w:id="72"/>
      <w:bookmarkEnd w:id="73"/>
    </w:p>
    <w:p w:rsidR="00D242E9" w:rsidRPr="007831A0" w:rsidRDefault="00D242E9" w:rsidP="00F95DF0">
      <w:pPr>
        <w:widowControl/>
        <w:suppressAutoHyphens/>
        <w:spacing w:before="120" w:line="280" w:lineRule="atLeast"/>
        <w:ind w:left="680"/>
        <w:jc w:val="both"/>
        <w:rPr>
          <w:rFonts w:ascii="Arial" w:hAnsi="Arial"/>
          <w:sz w:val="20"/>
        </w:rPr>
      </w:pPr>
      <w:r w:rsidRPr="007831A0">
        <w:rPr>
          <w:rFonts w:ascii="Arial" w:hAnsi="Arial"/>
          <w:sz w:val="20"/>
        </w:rPr>
        <w:t>For reports on congenital anomalies or teratogenicity</w:t>
      </w:r>
      <w:r w:rsidR="000E7F0E" w:rsidRPr="007831A0">
        <w:rPr>
          <w:rFonts w:ascii="Arial" w:hAnsi="Arial"/>
          <w:sz w:val="20"/>
        </w:rPr>
        <w:t>, the following information</w:t>
      </w:r>
      <w:r w:rsidR="00C2167F" w:rsidRPr="007831A0">
        <w:rPr>
          <w:rFonts w:ascii="Arial" w:hAnsi="Arial"/>
          <w:sz w:val="20"/>
        </w:rPr>
        <w:t xml:space="preserve"> should</w:t>
      </w:r>
      <w:r w:rsidR="00F92DB8">
        <w:rPr>
          <w:rFonts w:ascii="Arial" w:hAnsi="Arial"/>
          <w:sz w:val="20"/>
        </w:rPr>
        <w:t xml:space="preserve"> </w:t>
      </w:r>
      <w:r w:rsidR="000E7F0E" w:rsidRPr="007831A0">
        <w:rPr>
          <w:rFonts w:ascii="Arial" w:hAnsi="Arial"/>
          <w:sz w:val="20"/>
        </w:rPr>
        <w:t>be provided</w:t>
      </w:r>
      <w:r w:rsidRPr="007831A0">
        <w:rPr>
          <w:rFonts w:ascii="Arial" w:hAnsi="Arial"/>
          <w:sz w:val="20"/>
        </w:rPr>
        <w:t>:</w:t>
      </w:r>
    </w:p>
    <w:p w:rsidR="00D242E9" w:rsidRPr="007831A0" w:rsidRDefault="00D242E9" w:rsidP="0078395A">
      <w:pPr>
        <w:widowControl/>
        <w:numPr>
          <w:ilvl w:val="0"/>
          <w:numId w:val="5"/>
        </w:numPr>
        <w:tabs>
          <w:tab w:val="clear" w:pos="927"/>
          <w:tab w:val="left" w:pos="1021"/>
        </w:tabs>
        <w:suppressAutoHyphens/>
        <w:spacing w:before="80" w:line="260" w:lineRule="atLeast"/>
        <w:ind w:left="1020" w:hanging="340"/>
        <w:jc w:val="both"/>
        <w:rPr>
          <w:rFonts w:ascii="Arial" w:hAnsi="Arial"/>
          <w:sz w:val="20"/>
        </w:rPr>
      </w:pPr>
      <w:r w:rsidRPr="007831A0">
        <w:rPr>
          <w:rFonts w:ascii="Arial" w:hAnsi="Arial"/>
          <w:sz w:val="20"/>
        </w:rPr>
        <w:t>age</w:t>
      </w:r>
      <w:r w:rsidR="00F92DB8">
        <w:rPr>
          <w:rFonts w:ascii="Arial" w:hAnsi="Arial"/>
          <w:sz w:val="20"/>
        </w:rPr>
        <w:t xml:space="preserve"> </w:t>
      </w:r>
      <w:r w:rsidR="000B347F" w:rsidRPr="007831A0">
        <w:rPr>
          <w:rFonts w:ascii="Arial" w:hAnsi="Arial"/>
          <w:sz w:val="20"/>
        </w:rPr>
        <w:t>and sex of the infant</w:t>
      </w:r>
    </w:p>
    <w:p w:rsidR="00896671" w:rsidRPr="007831A0" w:rsidRDefault="00B54E62" w:rsidP="0078395A">
      <w:pPr>
        <w:widowControl/>
        <w:numPr>
          <w:ilvl w:val="0"/>
          <w:numId w:val="5"/>
        </w:numPr>
        <w:tabs>
          <w:tab w:val="clear" w:pos="927"/>
          <w:tab w:val="left" w:pos="1021"/>
        </w:tabs>
        <w:suppressAutoHyphens/>
        <w:spacing w:before="80" w:line="260" w:lineRule="atLeast"/>
        <w:ind w:left="1020" w:hanging="340"/>
        <w:jc w:val="both"/>
        <w:rPr>
          <w:rFonts w:ascii="Arial" w:hAnsi="Arial"/>
          <w:sz w:val="20"/>
        </w:rPr>
      </w:pPr>
      <w:r w:rsidRPr="007831A0">
        <w:rPr>
          <w:rFonts w:ascii="Arial" w:hAnsi="Arial"/>
          <w:sz w:val="20"/>
        </w:rPr>
        <w:t>t</w:t>
      </w:r>
      <w:r w:rsidR="00D242E9" w:rsidRPr="007831A0">
        <w:rPr>
          <w:rFonts w:ascii="Arial" w:hAnsi="Arial"/>
          <w:sz w:val="20"/>
        </w:rPr>
        <w:t>he birth date or the date on which pregnancy was terminated</w:t>
      </w:r>
    </w:p>
    <w:p w:rsidR="00896671" w:rsidRPr="007831A0" w:rsidRDefault="00DE3A6F" w:rsidP="0078395A">
      <w:pPr>
        <w:widowControl/>
        <w:numPr>
          <w:ilvl w:val="0"/>
          <w:numId w:val="5"/>
        </w:numPr>
        <w:tabs>
          <w:tab w:val="clear" w:pos="927"/>
          <w:tab w:val="left" w:pos="1021"/>
        </w:tabs>
        <w:suppressAutoHyphens/>
        <w:spacing w:before="80" w:line="260" w:lineRule="atLeast"/>
        <w:ind w:left="1020" w:hanging="340"/>
        <w:jc w:val="both"/>
        <w:rPr>
          <w:rFonts w:ascii="Arial" w:hAnsi="Arial"/>
          <w:sz w:val="20"/>
        </w:rPr>
      </w:pPr>
      <w:r w:rsidRPr="007831A0">
        <w:rPr>
          <w:rFonts w:ascii="Arial" w:hAnsi="Arial"/>
          <w:sz w:val="20"/>
        </w:rPr>
        <w:t xml:space="preserve">date and/or duration of </w:t>
      </w:r>
      <w:r w:rsidRPr="007831A0">
        <w:rPr>
          <w:rFonts w:ascii="Arial" w:hAnsi="Arial"/>
          <w:i/>
          <w:sz w:val="20"/>
        </w:rPr>
        <w:t>in utero</w:t>
      </w:r>
      <w:r w:rsidR="000B347F" w:rsidRPr="007831A0">
        <w:rPr>
          <w:rFonts w:ascii="Arial" w:hAnsi="Arial"/>
          <w:sz w:val="20"/>
        </w:rPr>
        <w:t xml:space="preserve"> exposure where possible</w:t>
      </w:r>
    </w:p>
    <w:p w:rsidR="00AC2D5C" w:rsidRPr="007831A0" w:rsidRDefault="0085115B" w:rsidP="0078395A">
      <w:pPr>
        <w:widowControl/>
        <w:numPr>
          <w:ilvl w:val="0"/>
          <w:numId w:val="5"/>
        </w:numPr>
        <w:tabs>
          <w:tab w:val="clear" w:pos="927"/>
          <w:tab w:val="left" w:pos="1021"/>
        </w:tabs>
        <w:suppressAutoHyphens/>
        <w:spacing w:before="80" w:line="260" w:lineRule="atLeast"/>
        <w:ind w:left="1020" w:hanging="340"/>
        <w:jc w:val="both"/>
        <w:rPr>
          <w:rFonts w:ascii="Arial" w:hAnsi="Arial" w:cs="Arial"/>
          <w:sz w:val="20"/>
        </w:rPr>
      </w:pPr>
      <w:r w:rsidRPr="007831A0">
        <w:rPr>
          <w:rFonts w:ascii="Arial" w:hAnsi="Arial" w:cs="Arial"/>
          <w:sz w:val="20"/>
        </w:rPr>
        <w:t>a</w:t>
      </w:r>
      <w:r w:rsidR="00896671" w:rsidRPr="007831A0">
        <w:rPr>
          <w:rFonts w:ascii="Arial" w:hAnsi="Arial" w:cs="Arial"/>
          <w:sz w:val="20"/>
        </w:rPr>
        <w:t>ny adverse reaction experienced by the mother must be considered a new initial case report on a separate report form</w:t>
      </w:r>
      <w:r w:rsidR="002C4791" w:rsidRPr="007831A0">
        <w:rPr>
          <w:rFonts w:ascii="Arial" w:hAnsi="Arial" w:cs="Arial"/>
          <w:sz w:val="20"/>
        </w:rPr>
        <w:t>.</w:t>
      </w:r>
    </w:p>
    <w:p w:rsidR="00760E87" w:rsidRPr="007831A0" w:rsidRDefault="00A64F63" w:rsidP="0056753E">
      <w:pPr>
        <w:pStyle w:val="Heading2"/>
      </w:pPr>
      <w:bookmarkStart w:id="75" w:name="_Toc447708268"/>
      <w:bookmarkStart w:id="76" w:name="_Toc5282795"/>
      <w:r w:rsidRPr="007831A0">
        <w:t>4</w:t>
      </w:r>
      <w:r w:rsidR="00D242E9" w:rsidRPr="007831A0">
        <w:t>.10</w:t>
      </w:r>
      <w:r w:rsidR="00D242E9" w:rsidRPr="007831A0">
        <w:tab/>
      </w:r>
      <w:r w:rsidR="00760E87" w:rsidRPr="007831A0">
        <w:t>Reports of lack of efficacy</w:t>
      </w:r>
      <w:bookmarkEnd w:id="74"/>
      <w:bookmarkEnd w:id="75"/>
      <w:bookmarkEnd w:id="76"/>
    </w:p>
    <w:p w:rsidR="00CF6B9C" w:rsidRPr="007831A0" w:rsidRDefault="00760E87">
      <w:pPr>
        <w:widowControl/>
        <w:suppressAutoHyphens/>
        <w:spacing w:before="120" w:line="280" w:lineRule="atLeast"/>
        <w:ind w:left="680"/>
        <w:jc w:val="both"/>
        <w:rPr>
          <w:rFonts w:ascii="Arial" w:hAnsi="Arial"/>
          <w:sz w:val="20"/>
        </w:rPr>
      </w:pPr>
      <w:r w:rsidRPr="007831A0">
        <w:rPr>
          <w:rFonts w:ascii="Arial" w:hAnsi="Arial"/>
          <w:sz w:val="20"/>
        </w:rPr>
        <w:t xml:space="preserve">“Lack of efficacy” is defined as failure to produce the expected pharmacological action.  Lack of efficacy applies </w:t>
      </w:r>
      <w:r w:rsidR="00D26C39" w:rsidRPr="007831A0">
        <w:rPr>
          <w:rFonts w:ascii="Arial" w:hAnsi="Arial"/>
          <w:sz w:val="20"/>
        </w:rPr>
        <w:t xml:space="preserve">to </w:t>
      </w:r>
      <w:r w:rsidR="009F6E07">
        <w:rPr>
          <w:rFonts w:ascii="Arial" w:hAnsi="Arial"/>
          <w:sz w:val="20"/>
        </w:rPr>
        <w:t xml:space="preserve">old and </w:t>
      </w:r>
      <w:r w:rsidRPr="007831A0">
        <w:rPr>
          <w:rFonts w:ascii="Arial" w:hAnsi="Arial"/>
          <w:sz w:val="20"/>
        </w:rPr>
        <w:t>registered medicines, including when used for an unapproved indication.</w:t>
      </w:r>
      <w:r w:rsidR="00F92DB8">
        <w:rPr>
          <w:rFonts w:ascii="Arial" w:hAnsi="Arial"/>
          <w:sz w:val="20"/>
        </w:rPr>
        <w:t xml:space="preserve"> </w:t>
      </w:r>
      <w:r w:rsidRPr="007831A0">
        <w:rPr>
          <w:rFonts w:ascii="Arial" w:hAnsi="Arial"/>
          <w:sz w:val="20"/>
        </w:rPr>
        <w:t xml:space="preserve">Reports of lack of efficacy should not be routinely reported as serious </w:t>
      </w:r>
      <w:r w:rsidR="000E7F0E" w:rsidRPr="007831A0">
        <w:rPr>
          <w:rFonts w:ascii="Arial" w:hAnsi="Arial"/>
          <w:sz w:val="20"/>
        </w:rPr>
        <w:t xml:space="preserve">adverse drug reaction </w:t>
      </w:r>
      <w:r w:rsidRPr="007831A0">
        <w:rPr>
          <w:rFonts w:ascii="Arial" w:hAnsi="Arial"/>
          <w:sz w:val="20"/>
        </w:rPr>
        <w:t>reports.</w:t>
      </w:r>
    </w:p>
    <w:p w:rsidR="00AC2D5C" w:rsidRPr="007831A0" w:rsidRDefault="000E7F0E" w:rsidP="007831A0">
      <w:pPr>
        <w:widowControl/>
        <w:suppressAutoHyphens/>
        <w:spacing w:before="120" w:line="260" w:lineRule="atLeast"/>
        <w:ind w:left="680"/>
        <w:jc w:val="both"/>
        <w:rPr>
          <w:rFonts w:ascii="Arial" w:hAnsi="Arial"/>
          <w:sz w:val="20"/>
        </w:rPr>
      </w:pPr>
      <w:r w:rsidRPr="007831A0">
        <w:rPr>
          <w:rFonts w:ascii="Arial" w:hAnsi="Arial"/>
          <w:sz w:val="20"/>
        </w:rPr>
        <w:t>Lack of efficacy with m</w:t>
      </w:r>
      <w:r w:rsidR="00760E87" w:rsidRPr="007831A0">
        <w:rPr>
          <w:rFonts w:ascii="Arial" w:hAnsi="Arial"/>
          <w:sz w:val="20"/>
        </w:rPr>
        <w:t>edicin</w:t>
      </w:r>
      <w:r w:rsidRPr="007831A0">
        <w:rPr>
          <w:rFonts w:ascii="Arial" w:hAnsi="Arial"/>
          <w:sz w:val="20"/>
        </w:rPr>
        <w:t xml:space="preserve">es </w:t>
      </w:r>
      <w:r w:rsidR="00760E87" w:rsidRPr="007831A0">
        <w:rPr>
          <w:rFonts w:ascii="Arial" w:hAnsi="Arial"/>
          <w:sz w:val="20"/>
        </w:rPr>
        <w:t xml:space="preserve">used for the treatment of life-threatening diseases </w:t>
      </w:r>
      <w:r w:rsidR="00006D29" w:rsidRPr="007831A0">
        <w:rPr>
          <w:rFonts w:ascii="Arial" w:hAnsi="Arial"/>
          <w:sz w:val="20"/>
        </w:rPr>
        <w:t>(e.g. an</w:t>
      </w:r>
      <w:r w:rsidR="004C7ED8" w:rsidRPr="007831A0">
        <w:rPr>
          <w:rFonts w:ascii="Arial" w:hAnsi="Arial"/>
          <w:sz w:val="20"/>
        </w:rPr>
        <w:t>timicrobial agents), vaccines or</w:t>
      </w:r>
      <w:r w:rsidR="00006D29" w:rsidRPr="007831A0">
        <w:rPr>
          <w:rFonts w:ascii="Arial" w:hAnsi="Arial"/>
          <w:sz w:val="20"/>
        </w:rPr>
        <w:t xml:space="preserve"> contraceptives or other classes of medicines where lack of </w:t>
      </w:r>
      <w:r w:rsidR="00CF28ED" w:rsidRPr="00005FC8">
        <w:rPr>
          <w:rFonts w:ascii="Arial" w:hAnsi="Arial"/>
          <w:sz w:val="20"/>
        </w:rPr>
        <w:t>efficacy</w:t>
      </w:r>
      <w:r w:rsidR="00CF28ED">
        <w:rPr>
          <w:rFonts w:ascii="Arial" w:hAnsi="Arial"/>
          <w:sz w:val="20"/>
        </w:rPr>
        <w:t xml:space="preserve"> </w:t>
      </w:r>
      <w:r w:rsidR="00006D29" w:rsidRPr="007831A0">
        <w:rPr>
          <w:rFonts w:ascii="Arial" w:hAnsi="Arial"/>
          <w:sz w:val="20"/>
        </w:rPr>
        <w:t>could result in serious consequences</w:t>
      </w:r>
      <w:r w:rsidR="00760E87" w:rsidRPr="007831A0">
        <w:rPr>
          <w:rFonts w:ascii="Arial" w:hAnsi="Arial"/>
          <w:sz w:val="20"/>
        </w:rPr>
        <w:t>, requir</w:t>
      </w:r>
      <w:r w:rsidR="00546A98" w:rsidRPr="007831A0">
        <w:rPr>
          <w:rFonts w:ascii="Arial" w:hAnsi="Arial"/>
          <w:sz w:val="20"/>
        </w:rPr>
        <w:t>e</w:t>
      </w:r>
      <w:r w:rsidR="00760E87" w:rsidRPr="007831A0">
        <w:rPr>
          <w:rFonts w:ascii="Arial" w:hAnsi="Arial"/>
          <w:sz w:val="20"/>
        </w:rPr>
        <w:t xml:space="preserve"> reporting. Normal progression of disease does not imply lack of efficacy. </w:t>
      </w:r>
      <w:r w:rsidR="00652015" w:rsidRPr="007831A0">
        <w:rPr>
          <w:rFonts w:ascii="Arial" w:hAnsi="Arial"/>
          <w:sz w:val="20"/>
        </w:rPr>
        <w:t xml:space="preserve">Clinical judgement should be used in considering whether a case qualifies as serious for reporting purposes. </w:t>
      </w:r>
    </w:p>
    <w:p w:rsidR="00760E87" w:rsidRPr="006B5681" w:rsidRDefault="00760E87" w:rsidP="007831A0">
      <w:pPr>
        <w:widowControl/>
        <w:suppressAutoHyphens/>
        <w:spacing w:before="120" w:line="260" w:lineRule="atLeast"/>
        <w:ind w:left="680"/>
        <w:jc w:val="both"/>
        <w:rPr>
          <w:rFonts w:ascii="Arial" w:hAnsi="Arial"/>
          <w:b/>
          <w:caps/>
          <w:sz w:val="20"/>
        </w:rPr>
      </w:pPr>
      <w:r w:rsidRPr="007831A0">
        <w:rPr>
          <w:rFonts w:ascii="Arial" w:hAnsi="Arial"/>
          <w:sz w:val="20"/>
        </w:rPr>
        <w:t xml:space="preserve">The lot number of the suspected medicine for a report of lack of efficacy </w:t>
      </w:r>
      <w:r w:rsidR="000E7F0E" w:rsidRPr="007831A0">
        <w:rPr>
          <w:rFonts w:ascii="Arial" w:hAnsi="Arial"/>
          <w:sz w:val="20"/>
        </w:rPr>
        <w:t>must</w:t>
      </w:r>
      <w:r w:rsidR="00F92DB8">
        <w:rPr>
          <w:rFonts w:ascii="Arial" w:hAnsi="Arial"/>
          <w:sz w:val="20"/>
        </w:rPr>
        <w:t xml:space="preserve"> </w:t>
      </w:r>
      <w:r w:rsidRPr="007831A0">
        <w:rPr>
          <w:rFonts w:ascii="Arial" w:hAnsi="Arial"/>
          <w:sz w:val="20"/>
        </w:rPr>
        <w:t>be included</w:t>
      </w:r>
      <w:r w:rsidRPr="006B5681">
        <w:rPr>
          <w:rFonts w:ascii="Arial" w:hAnsi="Arial"/>
          <w:sz w:val="20"/>
        </w:rPr>
        <w:t xml:space="preserve"> in the report.</w:t>
      </w:r>
    </w:p>
    <w:p w:rsidR="00760E87" w:rsidRPr="001479C5" w:rsidRDefault="00A64F63" w:rsidP="0056753E">
      <w:pPr>
        <w:pStyle w:val="Heading2"/>
      </w:pPr>
      <w:bookmarkStart w:id="77" w:name="_Toc396005425"/>
      <w:bookmarkStart w:id="78" w:name="_Toc447708269"/>
      <w:bookmarkStart w:id="79" w:name="_Toc5282796"/>
      <w:r>
        <w:t>4</w:t>
      </w:r>
      <w:r w:rsidR="00D242E9">
        <w:t>.11</w:t>
      </w:r>
      <w:r w:rsidR="00760E87" w:rsidRPr="001479C5">
        <w:tab/>
        <w:t>Overdose</w:t>
      </w:r>
      <w:bookmarkEnd w:id="77"/>
      <w:bookmarkEnd w:id="78"/>
      <w:bookmarkEnd w:id="79"/>
    </w:p>
    <w:p w:rsidR="00760E87" w:rsidRPr="0071218F" w:rsidRDefault="00760E87" w:rsidP="00AA5E86">
      <w:pPr>
        <w:widowControl/>
        <w:suppressAutoHyphens/>
        <w:spacing w:before="120" w:line="280" w:lineRule="atLeast"/>
        <w:ind w:left="680"/>
        <w:jc w:val="both"/>
        <w:rPr>
          <w:rFonts w:ascii="Arial" w:hAnsi="Arial"/>
          <w:sz w:val="20"/>
        </w:rPr>
      </w:pPr>
      <w:r w:rsidRPr="0071218F">
        <w:rPr>
          <w:rFonts w:ascii="Arial" w:hAnsi="Arial"/>
          <w:sz w:val="20"/>
        </w:rPr>
        <w:t xml:space="preserve">Reports of overdose should be submitted only when the overdose was associated with an adverse reaction.  Suspected </w:t>
      </w:r>
      <w:r w:rsidR="00CF28ED" w:rsidRPr="00005FC8">
        <w:rPr>
          <w:rFonts w:ascii="Arial" w:hAnsi="Arial"/>
          <w:sz w:val="20"/>
        </w:rPr>
        <w:t>serious</w:t>
      </w:r>
      <w:r w:rsidR="00CF28ED">
        <w:rPr>
          <w:rFonts w:ascii="Arial" w:hAnsi="Arial"/>
          <w:sz w:val="20"/>
        </w:rPr>
        <w:t xml:space="preserve"> </w:t>
      </w:r>
      <w:r w:rsidRPr="0071218F">
        <w:rPr>
          <w:rFonts w:ascii="Arial" w:hAnsi="Arial"/>
          <w:sz w:val="20"/>
        </w:rPr>
        <w:t>adverse reactions, associated with an overdose, should be reported, as well as other reactions.  This should include reports which indicate that taking of the suspect medicine led to suicidal intention and subsequent overdose of the suspect medicine, or of other medication(s</w:t>
      </w:r>
      <w:r w:rsidR="003C1F7F" w:rsidRPr="0071218F">
        <w:rPr>
          <w:rFonts w:ascii="Arial" w:hAnsi="Arial"/>
          <w:sz w:val="20"/>
        </w:rPr>
        <w:t>).</w:t>
      </w:r>
      <w:r w:rsidR="003C1F7F" w:rsidRPr="005227B2">
        <w:rPr>
          <w:rFonts w:ascii="Arial" w:hAnsi="Arial"/>
          <w:sz w:val="20"/>
        </w:rPr>
        <w:t xml:space="preserve"> Reports</w:t>
      </w:r>
      <w:r w:rsidRPr="005227B2">
        <w:rPr>
          <w:rFonts w:ascii="Arial" w:hAnsi="Arial"/>
          <w:sz w:val="20"/>
        </w:rPr>
        <w:t xml:space="preserve"> of overdose that are associated with serious adverse reactions</w:t>
      </w:r>
      <w:r w:rsidR="0099713D">
        <w:rPr>
          <w:rFonts w:ascii="Arial" w:hAnsi="Arial"/>
          <w:sz w:val="20"/>
        </w:rPr>
        <w:t xml:space="preserve"> must be reported according to 4</w:t>
      </w:r>
      <w:r w:rsidRPr="005227B2">
        <w:rPr>
          <w:rFonts w:ascii="Arial" w:hAnsi="Arial"/>
          <w:sz w:val="20"/>
        </w:rPr>
        <w:t>.1(</w:t>
      </w:r>
      <w:proofErr w:type="spellStart"/>
      <w:r w:rsidRPr="005227B2">
        <w:rPr>
          <w:rFonts w:ascii="Arial" w:hAnsi="Arial"/>
          <w:sz w:val="20"/>
        </w:rPr>
        <w:t>i</w:t>
      </w:r>
      <w:proofErr w:type="spellEnd"/>
      <w:r w:rsidRPr="005227B2">
        <w:rPr>
          <w:rFonts w:ascii="Arial" w:hAnsi="Arial"/>
          <w:sz w:val="20"/>
        </w:rPr>
        <w:t>).</w:t>
      </w:r>
    </w:p>
    <w:p w:rsidR="00760E87" w:rsidRPr="0071218F" w:rsidRDefault="00A64F63" w:rsidP="0056753E">
      <w:pPr>
        <w:pStyle w:val="Heading2"/>
      </w:pPr>
      <w:bookmarkStart w:id="80" w:name="_Toc396005426"/>
      <w:bookmarkStart w:id="81" w:name="_Toc447708270"/>
      <w:bookmarkStart w:id="82" w:name="_Toc5282797"/>
      <w:r>
        <w:lastRenderedPageBreak/>
        <w:t>4</w:t>
      </w:r>
      <w:r w:rsidR="00D242E9">
        <w:t>.12</w:t>
      </w:r>
      <w:r w:rsidR="00760E87" w:rsidRPr="0071218F">
        <w:tab/>
        <w:t>Medication Errors</w:t>
      </w:r>
      <w:bookmarkEnd w:id="80"/>
      <w:bookmarkEnd w:id="81"/>
      <w:bookmarkEnd w:id="82"/>
    </w:p>
    <w:p w:rsidR="00760E87" w:rsidRPr="0071218F" w:rsidRDefault="00760E87" w:rsidP="00AA5E86">
      <w:pPr>
        <w:widowControl/>
        <w:suppressAutoHyphens/>
        <w:spacing w:before="120" w:line="280" w:lineRule="atLeast"/>
        <w:ind w:left="680"/>
        <w:jc w:val="both"/>
        <w:rPr>
          <w:rFonts w:ascii="Arial" w:hAnsi="Arial"/>
          <w:sz w:val="20"/>
        </w:rPr>
      </w:pPr>
      <w:r w:rsidRPr="0071218F">
        <w:rPr>
          <w:rFonts w:ascii="Arial" w:hAnsi="Arial"/>
          <w:sz w:val="20"/>
        </w:rPr>
        <w:t>Medication errors that are associated with serious adverse reactions</w:t>
      </w:r>
      <w:r w:rsidR="0099713D">
        <w:rPr>
          <w:rFonts w:ascii="Arial" w:hAnsi="Arial"/>
          <w:sz w:val="20"/>
        </w:rPr>
        <w:t xml:space="preserve"> must be reported according to 4</w:t>
      </w:r>
      <w:r w:rsidRPr="0071218F">
        <w:rPr>
          <w:rFonts w:ascii="Arial" w:hAnsi="Arial"/>
          <w:sz w:val="20"/>
        </w:rPr>
        <w:t>.1(</w:t>
      </w:r>
      <w:proofErr w:type="spellStart"/>
      <w:r w:rsidRPr="0071218F">
        <w:rPr>
          <w:rFonts w:ascii="Arial" w:hAnsi="Arial"/>
          <w:sz w:val="20"/>
        </w:rPr>
        <w:t>i</w:t>
      </w:r>
      <w:proofErr w:type="spellEnd"/>
      <w:r w:rsidRPr="0071218F">
        <w:rPr>
          <w:rFonts w:ascii="Arial" w:hAnsi="Arial"/>
          <w:sz w:val="20"/>
        </w:rPr>
        <w:t>). Information on medication errors, whether resulting in an adverse reaction or not, should be included in the Summary Report.</w:t>
      </w:r>
    </w:p>
    <w:p w:rsidR="00760E87" w:rsidRPr="007831A0" w:rsidRDefault="00A64F63" w:rsidP="0056753E">
      <w:pPr>
        <w:pStyle w:val="Heading2"/>
      </w:pPr>
      <w:bookmarkStart w:id="83" w:name="_Toc396005428"/>
      <w:bookmarkStart w:id="84" w:name="_Toc447708271"/>
      <w:bookmarkStart w:id="85" w:name="_Toc5282798"/>
      <w:r>
        <w:t>4</w:t>
      </w:r>
      <w:r w:rsidR="00760E87">
        <w:t>.13</w:t>
      </w:r>
      <w:r w:rsidR="00760E87">
        <w:tab/>
      </w:r>
      <w:r w:rsidR="00D242E9" w:rsidRPr="007831A0">
        <w:t>Medicin</w:t>
      </w:r>
      <w:r w:rsidR="00650B2F" w:rsidRPr="007831A0">
        <w:t>e</w:t>
      </w:r>
      <w:r w:rsidR="00F92DB8">
        <w:t xml:space="preserve"> </w:t>
      </w:r>
      <w:r w:rsidR="00760E87" w:rsidRPr="007831A0">
        <w:t>Defects</w:t>
      </w:r>
      <w:bookmarkEnd w:id="83"/>
      <w:bookmarkEnd w:id="84"/>
      <w:bookmarkEnd w:id="85"/>
    </w:p>
    <w:p w:rsidR="00760E87" w:rsidRPr="007831A0" w:rsidRDefault="00760E87" w:rsidP="00AA5E86">
      <w:pPr>
        <w:widowControl/>
        <w:suppressAutoHyphens/>
        <w:spacing w:before="120" w:line="280" w:lineRule="atLeast"/>
        <w:ind w:left="680"/>
        <w:jc w:val="both"/>
        <w:rPr>
          <w:rFonts w:ascii="Arial" w:hAnsi="Arial"/>
          <w:sz w:val="20"/>
        </w:rPr>
      </w:pPr>
      <w:r w:rsidRPr="007831A0">
        <w:rPr>
          <w:rFonts w:ascii="Arial" w:hAnsi="Arial"/>
          <w:sz w:val="20"/>
        </w:rPr>
        <w:t>If an adverse event is suspected to be related to a</w:t>
      </w:r>
      <w:r w:rsidR="00B3111A" w:rsidRPr="007831A0">
        <w:rPr>
          <w:rFonts w:ascii="Arial" w:hAnsi="Arial"/>
          <w:sz w:val="20"/>
        </w:rPr>
        <w:t xml:space="preserve"> medicine</w:t>
      </w:r>
      <w:r w:rsidRPr="007831A0">
        <w:rPr>
          <w:rFonts w:ascii="Arial" w:hAnsi="Arial"/>
          <w:sz w:val="20"/>
        </w:rPr>
        <w:t xml:space="preserve"> defect, it should be reported in the same manner as a suspected adverse reaction.  The lot number of the suspected </w:t>
      </w:r>
      <w:r w:rsidR="004C7ED8" w:rsidRPr="007831A0">
        <w:rPr>
          <w:rFonts w:ascii="Arial" w:hAnsi="Arial"/>
          <w:sz w:val="20"/>
        </w:rPr>
        <w:t xml:space="preserve">medicines </w:t>
      </w:r>
      <w:r w:rsidR="00650B2F" w:rsidRPr="007831A0">
        <w:rPr>
          <w:rFonts w:ascii="Arial" w:hAnsi="Arial"/>
          <w:sz w:val="20"/>
        </w:rPr>
        <w:t xml:space="preserve">must </w:t>
      </w:r>
      <w:r w:rsidRPr="007831A0">
        <w:rPr>
          <w:rFonts w:ascii="Arial" w:hAnsi="Arial"/>
          <w:sz w:val="20"/>
        </w:rPr>
        <w:t xml:space="preserve">be included in the report.  </w:t>
      </w:r>
      <w:r w:rsidR="002C5C91" w:rsidRPr="007831A0">
        <w:rPr>
          <w:rFonts w:ascii="Arial" w:hAnsi="Arial"/>
          <w:sz w:val="20"/>
        </w:rPr>
        <w:t>Holders or a</w:t>
      </w:r>
      <w:r w:rsidR="0042436A" w:rsidRPr="007831A0">
        <w:rPr>
          <w:rFonts w:ascii="Arial" w:hAnsi="Arial"/>
          <w:sz w:val="20"/>
        </w:rPr>
        <w:t>pplicants</w:t>
      </w:r>
      <w:r w:rsidR="00F92DB8">
        <w:rPr>
          <w:rFonts w:ascii="Arial" w:hAnsi="Arial"/>
          <w:sz w:val="20"/>
        </w:rPr>
        <w:t xml:space="preserve"> </w:t>
      </w:r>
      <w:r w:rsidRPr="007831A0">
        <w:rPr>
          <w:rFonts w:ascii="Arial" w:hAnsi="Arial"/>
          <w:sz w:val="20"/>
        </w:rPr>
        <w:t xml:space="preserve">should inform the </w:t>
      </w:r>
      <w:r w:rsidR="008442D3" w:rsidRPr="00005FC8">
        <w:rPr>
          <w:rFonts w:ascii="Arial" w:hAnsi="Arial"/>
          <w:sz w:val="20"/>
        </w:rPr>
        <w:t>Authority</w:t>
      </w:r>
      <w:r w:rsidR="00F92DB8">
        <w:rPr>
          <w:rFonts w:ascii="Arial" w:hAnsi="Arial"/>
          <w:sz w:val="20"/>
        </w:rPr>
        <w:t xml:space="preserve"> </w:t>
      </w:r>
      <w:r w:rsidRPr="007831A0">
        <w:rPr>
          <w:rFonts w:ascii="Arial" w:hAnsi="Arial"/>
          <w:sz w:val="20"/>
        </w:rPr>
        <w:t>whether the implicated products have been tested for quality and what, if any, corrective actions are being or have been taken.</w:t>
      </w:r>
    </w:p>
    <w:p w:rsidR="00760E87" w:rsidRPr="007831A0" w:rsidRDefault="00A64F63" w:rsidP="0056753E">
      <w:pPr>
        <w:pStyle w:val="Heading2"/>
      </w:pPr>
      <w:bookmarkStart w:id="86" w:name="_Toc396005429"/>
      <w:bookmarkStart w:id="87" w:name="_Toc447708272"/>
      <w:bookmarkStart w:id="88" w:name="_Toc5282799"/>
      <w:r w:rsidRPr="007831A0">
        <w:t>4</w:t>
      </w:r>
      <w:r w:rsidR="00760E87" w:rsidRPr="007831A0">
        <w:t>.14</w:t>
      </w:r>
      <w:r w:rsidR="00760E87" w:rsidRPr="007831A0">
        <w:tab/>
        <w:t>Interactions</w:t>
      </w:r>
      <w:bookmarkEnd w:id="86"/>
      <w:bookmarkEnd w:id="87"/>
      <w:bookmarkEnd w:id="88"/>
    </w:p>
    <w:p w:rsidR="00760E87" w:rsidRPr="007831A0" w:rsidRDefault="00760E87" w:rsidP="00AA5E86">
      <w:pPr>
        <w:widowControl/>
        <w:suppressAutoHyphens/>
        <w:spacing w:before="120" w:line="280" w:lineRule="atLeast"/>
        <w:ind w:left="680"/>
        <w:jc w:val="both"/>
        <w:rPr>
          <w:rFonts w:ascii="Arial" w:hAnsi="Arial"/>
          <w:sz w:val="20"/>
        </w:rPr>
      </w:pPr>
      <w:r w:rsidRPr="007831A0">
        <w:rPr>
          <w:rFonts w:ascii="Arial" w:hAnsi="Arial"/>
          <w:sz w:val="20"/>
        </w:rPr>
        <w:t xml:space="preserve">If an adverse event is suspected to be related to an interaction between two or more medicines, it should be reported as an adverse reaction </w:t>
      </w:r>
      <w:r w:rsidR="00DB3481">
        <w:rPr>
          <w:rFonts w:ascii="Arial" w:hAnsi="Arial"/>
          <w:sz w:val="20"/>
        </w:rPr>
        <w:t>and submitted as per the requirements of 4.1</w:t>
      </w:r>
      <w:r w:rsidRPr="007831A0">
        <w:rPr>
          <w:rFonts w:ascii="Arial" w:hAnsi="Arial"/>
          <w:sz w:val="20"/>
        </w:rPr>
        <w:t xml:space="preserve">. </w:t>
      </w:r>
    </w:p>
    <w:p w:rsidR="00760E87" w:rsidRPr="007831A0" w:rsidRDefault="00A64F63" w:rsidP="0056753E">
      <w:pPr>
        <w:pStyle w:val="Heading2"/>
      </w:pPr>
      <w:bookmarkStart w:id="89" w:name="_Toc396005430"/>
      <w:bookmarkStart w:id="90" w:name="_Toc447708273"/>
      <w:bookmarkStart w:id="91" w:name="_Toc5282800"/>
      <w:r w:rsidRPr="007831A0">
        <w:t>4</w:t>
      </w:r>
      <w:r w:rsidR="00760E87" w:rsidRPr="007831A0">
        <w:t>.15</w:t>
      </w:r>
      <w:r w:rsidR="00760E87" w:rsidRPr="007831A0">
        <w:tab/>
        <w:t>Adverse Reaction Reports from the Internet</w:t>
      </w:r>
      <w:bookmarkEnd w:id="89"/>
      <w:bookmarkEnd w:id="90"/>
      <w:bookmarkEnd w:id="91"/>
    </w:p>
    <w:p w:rsidR="00760E87" w:rsidRPr="007831A0" w:rsidRDefault="00AF46CB" w:rsidP="00AA5E86">
      <w:pPr>
        <w:widowControl/>
        <w:suppressAutoHyphens/>
        <w:spacing w:before="120" w:line="280" w:lineRule="atLeast"/>
        <w:ind w:left="680"/>
        <w:jc w:val="both"/>
        <w:rPr>
          <w:rFonts w:ascii="Arial" w:hAnsi="Arial"/>
          <w:sz w:val="20"/>
        </w:rPr>
      </w:pPr>
      <w:r w:rsidRPr="007831A0">
        <w:rPr>
          <w:rFonts w:ascii="Arial" w:hAnsi="Arial"/>
          <w:sz w:val="20"/>
        </w:rPr>
        <w:t xml:space="preserve">Holders or applicants </w:t>
      </w:r>
      <w:r w:rsidR="00760E87" w:rsidRPr="007831A0">
        <w:rPr>
          <w:rFonts w:ascii="Arial" w:hAnsi="Arial"/>
          <w:sz w:val="20"/>
        </w:rPr>
        <w:t>should regularly screen websites</w:t>
      </w:r>
      <w:r w:rsidR="00751EB5">
        <w:rPr>
          <w:rFonts w:ascii="Arial" w:hAnsi="Arial"/>
          <w:sz w:val="20"/>
        </w:rPr>
        <w:t xml:space="preserve"> and </w:t>
      </w:r>
      <w:r w:rsidR="00751EB5" w:rsidRPr="00005FC8">
        <w:rPr>
          <w:rFonts w:ascii="Arial" w:hAnsi="Arial"/>
          <w:sz w:val="20"/>
        </w:rPr>
        <w:t>social media accounts</w:t>
      </w:r>
      <w:r w:rsidR="00760E87" w:rsidRPr="00005FC8">
        <w:rPr>
          <w:rFonts w:ascii="Arial" w:hAnsi="Arial"/>
          <w:sz w:val="20"/>
        </w:rPr>
        <w:t xml:space="preserve"> </w:t>
      </w:r>
      <w:r w:rsidR="00760E87" w:rsidRPr="007831A0">
        <w:rPr>
          <w:rFonts w:ascii="Arial" w:hAnsi="Arial"/>
          <w:sz w:val="20"/>
        </w:rPr>
        <w:t xml:space="preserve">under their management or responsibility for potential ADR case reports.  The frequency of the screening should allow for potential valid ADRs to be reported to </w:t>
      </w:r>
      <w:r w:rsidR="008442D3" w:rsidRPr="00B1755D">
        <w:rPr>
          <w:rFonts w:ascii="Arial" w:hAnsi="Arial"/>
          <w:sz w:val="20"/>
        </w:rPr>
        <w:t xml:space="preserve">the </w:t>
      </w:r>
      <w:r w:rsidR="008442D3" w:rsidRPr="00005FC8">
        <w:rPr>
          <w:rFonts w:ascii="Arial" w:hAnsi="Arial"/>
          <w:sz w:val="20"/>
        </w:rPr>
        <w:t>Authority</w:t>
      </w:r>
      <w:r w:rsidR="00F92DB8">
        <w:rPr>
          <w:rFonts w:ascii="Arial" w:hAnsi="Arial"/>
          <w:sz w:val="20"/>
        </w:rPr>
        <w:t xml:space="preserve"> </w:t>
      </w:r>
      <w:r w:rsidR="00760E87" w:rsidRPr="007831A0">
        <w:rPr>
          <w:rFonts w:ascii="Arial" w:hAnsi="Arial"/>
          <w:sz w:val="20"/>
        </w:rPr>
        <w:t>within the appropriate</w:t>
      </w:r>
      <w:r w:rsidR="00F92DB8">
        <w:rPr>
          <w:rFonts w:ascii="Arial" w:hAnsi="Arial"/>
          <w:sz w:val="20"/>
        </w:rPr>
        <w:t xml:space="preserve"> </w:t>
      </w:r>
      <w:r w:rsidR="00760E87" w:rsidRPr="007831A0">
        <w:rPr>
          <w:rFonts w:ascii="Arial" w:hAnsi="Arial"/>
          <w:sz w:val="20"/>
        </w:rPr>
        <w:t>timeframe</w:t>
      </w:r>
      <w:r w:rsidR="00650B2F" w:rsidRPr="007831A0">
        <w:rPr>
          <w:rFonts w:ascii="Arial" w:hAnsi="Arial"/>
          <w:sz w:val="20"/>
        </w:rPr>
        <w:t>,</w:t>
      </w:r>
      <w:r w:rsidR="00760E87" w:rsidRPr="007831A0">
        <w:rPr>
          <w:rFonts w:ascii="Arial" w:hAnsi="Arial"/>
          <w:sz w:val="20"/>
        </w:rPr>
        <w:t xml:space="preserve"> based on the date the information was posted. Unsolicited cases from the Internet should be handle</w:t>
      </w:r>
      <w:r w:rsidR="00DB3481">
        <w:rPr>
          <w:rFonts w:ascii="Arial" w:hAnsi="Arial"/>
          <w:sz w:val="20"/>
        </w:rPr>
        <w:t>d</w:t>
      </w:r>
      <w:r w:rsidR="00760E87" w:rsidRPr="007831A0">
        <w:rPr>
          <w:rFonts w:ascii="Arial" w:hAnsi="Arial"/>
          <w:sz w:val="20"/>
        </w:rPr>
        <w:t xml:space="preserve"> as spontaneous reports.  For determination of </w:t>
      </w:r>
      <w:proofErr w:type="spellStart"/>
      <w:r w:rsidR="00760E87" w:rsidRPr="007831A0">
        <w:rPr>
          <w:rFonts w:ascii="Arial" w:hAnsi="Arial"/>
          <w:sz w:val="20"/>
        </w:rPr>
        <w:t>reportability</w:t>
      </w:r>
      <w:proofErr w:type="spellEnd"/>
      <w:r w:rsidR="00760E87" w:rsidRPr="007831A0">
        <w:rPr>
          <w:rFonts w:ascii="Arial" w:hAnsi="Arial"/>
          <w:sz w:val="20"/>
        </w:rPr>
        <w:t>, the same criteria should be applied as for cases provided via other</w:t>
      </w:r>
      <w:r w:rsidR="00F92DB8">
        <w:rPr>
          <w:rFonts w:ascii="Arial" w:hAnsi="Arial"/>
          <w:sz w:val="20"/>
        </w:rPr>
        <w:t xml:space="preserve"> </w:t>
      </w:r>
      <w:r w:rsidR="00650B2F" w:rsidRPr="007831A0">
        <w:rPr>
          <w:rFonts w:ascii="Arial" w:hAnsi="Arial"/>
          <w:sz w:val="20"/>
        </w:rPr>
        <w:t>means</w:t>
      </w:r>
      <w:r w:rsidR="00760E87" w:rsidRPr="007831A0">
        <w:rPr>
          <w:rFonts w:ascii="Arial" w:hAnsi="Arial"/>
          <w:sz w:val="20"/>
        </w:rPr>
        <w:t xml:space="preserve">. In relation to such cases from the Internet, </w:t>
      </w:r>
      <w:proofErr w:type="spellStart"/>
      <w:r w:rsidR="00760E87" w:rsidRPr="007831A0">
        <w:rPr>
          <w:rFonts w:ascii="Arial" w:hAnsi="Arial"/>
          <w:sz w:val="20"/>
        </w:rPr>
        <w:t>identifiability</w:t>
      </w:r>
      <w:proofErr w:type="spellEnd"/>
      <w:r w:rsidR="00760E87" w:rsidRPr="007831A0">
        <w:rPr>
          <w:rFonts w:ascii="Arial" w:hAnsi="Arial"/>
          <w:sz w:val="20"/>
        </w:rPr>
        <w:t xml:space="preserve"> of the reporter refers to the existence of a </w:t>
      </w:r>
      <w:r w:rsidR="00650B2F" w:rsidRPr="007831A0">
        <w:rPr>
          <w:rFonts w:ascii="Arial" w:hAnsi="Arial"/>
          <w:sz w:val="20"/>
        </w:rPr>
        <w:t>natural</w:t>
      </w:r>
      <w:r w:rsidRPr="007831A0">
        <w:rPr>
          <w:rFonts w:ascii="Arial" w:hAnsi="Arial"/>
          <w:sz w:val="20"/>
        </w:rPr>
        <w:t xml:space="preserve"> p</w:t>
      </w:r>
      <w:r w:rsidR="00760E87" w:rsidRPr="007831A0">
        <w:rPr>
          <w:rFonts w:ascii="Arial" w:hAnsi="Arial"/>
          <w:sz w:val="20"/>
        </w:rPr>
        <w:t>erson</w:t>
      </w:r>
      <w:r w:rsidR="00CE42FF" w:rsidRPr="007831A0">
        <w:rPr>
          <w:rFonts w:ascii="Arial" w:hAnsi="Arial"/>
          <w:sz w:val="20"/>
        </w:rPr>
        <w:t>, i.e</w:t>
      </w:r>
      <w:r w:rsidR="00AD3834" w:rsidRPr="007831A0">
        <w:rPr>
          <w:rFonts w:ascii="Arial" w:hAnsi="Arial"/>
          <w:sz w:val="20"/>
        </w:rPr>
        <w:t>.</w:t>
      </w:r>
      <w:r w:rsidR="00CE42FF" w:rsidRPr="007831A0">
        <w:rPr>
          <w:rFonts w:ascii="Arial" w:hAnsi="Arial"/>
          <w:sz w:val="20"/>
        </w:rPr>
        <w:t xml:space="preserve"> it should be possible to verify that the patient</w:t>
      </w:r>
      <w:r w:rsidR="00E8214A" w:rsidRPr="007831A0">
        <w:rPr>
          <w:rFonts w:ascii="Arial" w:hAnsi="Arial"/>
          <w:sz w:val="20"/>
        </w:rPr>
        <w:t xml:space="preserve"> and reporter exist (e.g. a valid e-</w:t>
      </w:r>
      <w:r w:rsidRPr="007831A0">
        <w:rPr>
          <w:rFonts w:ascii="Arial" w:hAnsi="Arial"/>
          <w:sz w:val="20"/>
        </w:rPr>
        <w:t>mail address has been provided</w:t>
      </w:r>
      <w:r w:rsidR="004C7ED8" w:rsidRPr="007831A0">
        <w:rPr>
          <w:rFonts w:ascii="Arial" w:hAnsi="Arial"/>
          <w:sz w:val="20"/>
        </w:rPr>
        <w:t>)</w:t>
      </w:r>
      <w:r w:rsidRPr="007831A0">
        <w:rPr>
          <w:rFonts w:ascii="Arial" w:hAnsi="Arial"/>
          <w:sz w:val="20"/>
        </w:rPr>
        <w:t xml:space="preserve">.  </w:t>
      </w:r>
      <w:r w:rsidR="00760E87" w:rsidRPr="007831A0">
        <w:rPr>
          <w:rFonts w:ascii="Arial" w:hAnsi="Arial"/>
          <w:sz w:val="20"/>
        </w:rPr>
        <w:t>Contact details should only be use</w:t>
      </w:r>
      <w:r w:rsidR="00650B2F" w:rsidRPr="007831A0">
        <w:rPr>
          <w:rFonts w:ascii="Arial" w:hAnsi="Arial"/>
          <w:sz w:val="20"/>
        </w:rPr>
        <w:t>d</w:t>
      </w:r>
      <w:r w:rsidR="00760E87" w:rsidRPr="007831A0">
        <w:rPr>
          <w:rFonts w:ascii="Arial" w:hAnsi="Arial"/>
          <w:sz w:val="20"/>
        </w:rPr>
        <w:t xml:space="preserve"> for </w:t>
      </w:r>
      <w:r w:rsidR="00650B2F" w:rsidRPr="007831A0">
        <w:rPr>
          <w:rFonts w:ascii="Arial" w:hAnsi="Arial"/>
          <w:sz w:val="20"/>
        </w:rPr>
        <w:t xml:space="preserve">pharmacovigilance </w:t>
      </w:r>
      <w:r w:rsidR="00760E87" w:rsidRPr="007831A0">
        <w:rPr>
          <w:rFonts w:ascii="Arial" w:hAnsi="Arial"/>
          <w:sz w:val="20"/>
        </w:rPr>
        <w:t>purposes.</w:t>
      </w:r>
    </w:p>
    <w:p w:rsidR="00760E87" w:rsidRPr="007831A0" w:rsidRDefault="00A64F63" w:rsidP="00A40FA7">
      <w:pPr>
        <w:pStyle w:val="Heading2"/>
        <w:ind w:left="680" w:hanging="680"/>
        <w:jc w:val="both"/>
      </w:pPr>
      <w:bookmarkStart w:id="92" w:name="_Toc396005431"/>
      <w:bookmarkStart w:id="93" w:name="_Toc447708274"/>
      <w:bookmarkStart w:id="94" w:name="_Toc5282801"/>
      <w:r w:rsidRPr="007831A0">
        <w:t>4</w:t>
      </w:r>
      <w:r w:rsidR="00760E87" w:rsidRPr="007831A0">
        <w:t>.16</w:t>
      </w:r>
      <w:r w:rsidR="00760E87" w:rsidRPr="007831A0">
        <w:tab/>
        <w:t>Period after Suspension, Cancellation or Withdrawal o</w:t>
      </w:r>
      <w:r w:rsidR="009318DB" w:rsidRPr="007831A0">
        <w:t>f</w:t>
      </w:r>
      <w:r w:rsidR="00035A8C" w:rsidRPr="007831A0">
        <w:t xml:space="preserve"> Holder of Certificate of Registration/ </w:t>
      </w:r>
      <w:r w:rsidR="00035A8C" w:rsidRPr="007831A0">
        <w:rPr>
          <w:rFonts w:cs="Arial"/>
        </w:rPr>
        <w:t>Applicant</w:t>
      </w:r>
      <w:bookmarkEnd w:id="92"/>
      <w:bookmarkEnd w:id="93"/>
      <w:bookmarkEnd w:id="94"/>
    </w:p>
    <w:p w:rsidR="00760E87" w:rsidRPr="00005FC8" w:rsidRDefault="009318DB" w:rsidP="00B471DF">
      <w:pPr>
        <w:widowControl/>
        <w:suppressAutoHyphens/>
        <w:spacing w:before="120" w:line="280" w:lineRule="atLeast"/>
        <w:ind w:left="680"/>
        <w:jc w:val="both"/>
        <w:rPr>
          <w:rFonts w:ascii="Arial" w:hAnsi="Arial"/>
          <w:sz w:val="20"/>
          <w:u w:val="single"/>
        </w:rPr>
      </w:pPr>
      <w:r w:rsidRPr="007831A0">
        <w:rPr>
          <w:rFonts w:ascii="Arial" w:hAnsi="Arial"/>
          <w:sz w:val="20"/>
        </w:rPr>
        <w:t>The</w:t>
      </w:r>
      <w:r w:rsidR="00BA2DBF">
        <w:rPr>
          <w:rFonts w:ascii="Arial" w:hAnsi="Arial"/>
          <w:sz w:val="20"/>
        </w:rPr>
        <w:t xml:space="preserve"> </w:t>
      </w:r>
      <w:r w:rsidR="00B54E62" w:rsidRPr="007831A0">
        <w:rPr>
          <w:rFonts w:ascii="Arial" w:hAnsi="Arial"/>
          <w:sz w:val="20"/>
        </w:rPr>
        <w:t>holder</w:t>
      </w:r>
      <w:r w:rsidR="00BA2DBF">
        <w:rPr>
          <w:rFonts w:ascii="Arial" w:hAnsi="Arial"/>
          <w:sz w:val="20"/>
        </w:rPr>
        <w:t xml:space="preserve"> </w:t>
      </w:r>
      <w:r w:rsidR="00B54E62" w:rsidRPr="007831A0">
        <w:rPr>
          <w:rFonts w:ascii="Arial" w:hAnsi="Arial"/>
          <w:sz w:val="20"/>
        </w:rPr>
        <w:t xml:space="preserve">or applicant </w:t>
      </w:r>
      <w:r w:rsidR="00760E87" w:rsidRPr="007831A0">
        <w:rPr>
          <w:rFonts w:ascii="Arial" w:hAnsi="Arial"/>
          <w:sz w:val="20"/>
        </w:rPr>
        <w:t>should continue to collect adverse reaction reports related to the concerned medicine and continue to report if information becomes available</w:t>
      </w:r>
      <w:r w:rsidR="00650B2F" w:rsidRPr="007831A0">
        <w:rPr>
          <w:rFonts w:ascii="Arial" w:hAnsi="Arial"/>
          <w:sz w:val="20"/>
        </w:rPr>
        <w:t>, even after suspension, cancellation o</w:t>
      </w:r>
      <w:r w:rsidR="00D26C39" w:rsidRPr="007831A0">
        <w:rPr>
          <w:rFonts w:ascii="Arial" w:hAnsi="Arial"/>
          <w:sz w:val="20"/>
        </w:rPr>
        <w:t>r</w:t>
      </w:r>
      <w:r w:rsidR="00650B2F" w:rsidRPr="007831A0">
        <w:rPr>
          <w:rFonts w:ascii="Arial" w:hAnsi="Arial"/>
          <w:sz w:val="20"/>
        </w:rPr>
        <w:t xml:space="preserve"> withdrawal of registration or “Old Medicine” status</w:t>
      </w:r>
      <w:r w:rsidR="00C31C4E">
        <w:rPr>
          <w:rFonts w:ascii="Arial" w:hAnsi="Arial"/>
          <w:sz w:val="20"/>
        </w:rPr>
        <w:t xml:space="preserve"> </w:t>
      </w:r>
      <w:r w:rsidR="00C31C4E" w:rsidRPr="00005FC8">
        <w:rPr>
          <w:rFonts w:ascii="Arial" w:hAnsi="Arial"/>
          <w:sz w:val="20"/>
        </w:rPr>
        <w:t>until the last batch expiry</w:t>
      </w:r>
      <w:r w:rsidR="00760E87" w:rsidRPr="00005FC8">
        <w:rPr>
          <w:rFonts w:ascii="Arial" w:hAnsi="Arial"/>
          <w:sz w:val="20"/>
        </w:rPr>
        <w:t>.</w:t>
      </w:r>
      <w:r w:rsidR="00C31C4E" w:rsidRPr="00005FC8">
        <w:rPr>
          <w:rFonts w:ascii="Arial" w:hAnsi="Arial"/>
          <w:sz w:val="20"/>
        </w:rPr>
        <w:t xml:space="preserve"> After this date, the </w:t>
      </w:r>
      <w:r w:rsidR="00DB3481">
        <w:rPr>
          <w:rFonts w:ascii="Arial" w:hAnsi="Arial"/>
          <w:sz w:val="20"/>
        </w:rPr>
        <w:t xml:space="preserve">applicant should report any </w:t>
      </w:r>
      <w:r w:rsidR="00C31C4E" w:rsidRPr="00005FC8">
        <w:rPr>
          <w:rFonts w:ascii="Arial" w:hAnsi="Arial"/>
          <w:sz w:val="20"/>
        </w:rPr>
        <w:t>follow-up information on</w:t>
      </w:r>
      <w:r w:rsidR="00BA2DBF" w:rsidRPr="00005FC8">
        <w:rPr>
          <w:rFonts w:ascii="Arial" w:hAnsi="Arial"/>
          <w:sz w:val="20"/>
        </w:rPr>
        <w:t xml:space="preserve"> </w:t>
      </w:r>
      <w:r w:rsidR="00C31C4E" w:rsidRPr="00005FC8">
        <w:rPr>
          <w:rFonts w:ascii="Arial" w:hAnsi="Arial"/>
          <w:sz w:val="20"/>
        </w:rPr>
        <w:t>the reported cases and continue to collect (but not report) safety information for review of delayed onset adverse reactions or retrospectively notified cases</w:t>
      </w:r>
      <w:r w:rsidR="00840E47" w:rsidRPr="00005FC8">
        <w:rPr>
          <w:rFonts w:ascii="Arial" w:hAnsi="Arial"/>
          <w:sz w:val="20"/>
        </w:rPr>
        <w:t>.</w:t>
      </w:r>
    </w:p>
    <w:p w:rsidR="00A64F63" w:rsidRPr="007831A0" w:rsidRDefault="00035A8C" w:rsidP="00035A8C">
      <w:pPr>
        <w:pStyle w:val="Heading1"/>
        <w:rPr>
          <w:color w:val="auto"/>
        </w:rPr>
      </w:pPr>
      <w:bookmarkStart w:id="95" w:name="_Toc5282802"/>
      <w:r w:rsidRPr="007831A0">
        <w:rPr>
          <w:color w:val="auto"/>
        </w:rPr>
        <w:t>5</w:t>
      </w:r>
      <w:r w:rsidR="00A64F63" w:rsidRPr="007831A0">
        <w:rPr>
          <w:color w:val="auto"/>
        </w:rPr>
        <w:tab/>
        <w:t>PROCEDURES FOR REPORTING</w:t>
      </w:r>
      <w:bookmarkEnd w:id="95"/>
    </w:p>
    <w:p w:rsidR="00A64F63" w:rsidRPr="007831A0" w:rsidRDefault="00017800" w:rsidP="00A64F63">
      <w:pPr>
        <w:pStyle w:val="Heading2"/>
      </w:pPr>
      <w:bookmarkStart w:id="96" w:name="_Toc5282803"/>
      <w:r w:rsidRPr="007831A0">
        <w:t>5.1</w:t>
      </w:r>
      <w:r w:rsidR="00A64F63" w:rsidRPr="007831A0">
        <w:tab/>
      </w:r>
      <w:r w:rsidR="00E3098F" w:rsidRPr="007831A0">
        <w:t xml:space="preserve">To </w:t>
      </w:r>
      <w:r w:rsidR="00A64F63" w:rsidRPr="007831A0">
        <w:t>Who</w:t>
      </w:r>
      <w:r w:rsidR="00E3098F" w:rsidRPr="007831A0">
        <w:t>m</w:t>
      </w:r>
      <w:r w:rsidR="00A64F63" w:rsidRPr="007831A0">
        <w:t xml:space="preserve"> to Report</w:t>
      </w:r>
      <w:bookmarkEnd w:id="96"/>
    </w:p>
    <w:p w:rsidR="00A64F63" w:rsidRDefault="00A64F63" w:rsidP="00A64F63">
      <w:pPr>
        <w:widowControl/>
        <w:suppressAutoHyphens/>
        <w:spacing w:before="120" w:line="280" w:lineRule="atLeast"/>
        <w:ind w:left="680"/>
        <w:jc w:val="both"/>
        <w:rPr>
          <w:rFonts w:ascii="Arial" w:hAnsi="Arial"/>
          <w:sz w:val="20"/>
        </w:rPr>
      </w:pPr>
      <w:r w:rsidRPr="007831A0">
        <w:rPr>
          <w:rFonts w:ascii="Arial" w:hAnsi="Arial"/>
          <w:sz w:val="20"/>
        </w:rPr>
        <w:t xml:space="preserve">All reports required by these guidelines should be sent to </w:t>
      </w:r>
      <w:r w:rsidR="008442D3" w:rsidRPr="00B1755D">
        <w:rPr>
          <w:rFonts w:ascii="Arial" w:hAnsi="Arial"/>
          <w:sz w:val="20"/>
        </w:rPr>
        <w:t xml:space="preserve">the </w:t>
      </w:r>
      <w:r w:rsidR="008442D3" w:rsidRPr="00EC3085">
        <w:rPr>
          <w:rFonts w:ascii="Arial" w:hAnsi="Arial"/>
          <w:sz w:val="20"/>
        </w:rPr>
        <w:t>Authority</w:t>
      </w:r>
      <w:r w:rsidR="00B373E2">
        <w:rPr>
          <w:rFonts w:ascii="Arial" w:hAnsi="Arial"/>
          <w:sz w:val="20"/>
        </w:rPr>
        <w:t>.</w:t>
      </w:r>
    </w:p>
    <w:p w:rsidR="00A64F63" w:rsidRPr="00035A8C" w:rsidRDefault="00035A8C" w:rsidP="00035A8C">
      <w:pPr>
        <w:pStyle w:val="Heading2"/>
      </w:pPr>
      <w:bookmarkStart w:id="97" w:name="_Toc5282804"/>
      <w:r>
        <w:t>5.2</w:t>
      </w:r>
      <w:r>
        <w:tab/>
      </w:r>
      <w:r w:rsidR="00A64F63" w:rsidRPr="00035A8C">
        <w:t>Route of Notification</w:t>
      </w:r>
      <w:bookmarkEnd w:id="97"/>
    </w:p>
    <w:p w:rsidR="00A64F63" w:rsidRDefault="00A64F63" w:rsidP="00A64F63">
      <w:pPr>
        <w:widowControl/>
        <w:suppressAutoHyphens/>
        <w:spacing w:before="120" w:line="280" w:lineRule="atLeast"/>
        <w:ind w:left="680"/>
        <w:jc w:val="both"/>
        <w:rPr>
          <w:rFonts w:ascii="Arial" w:hAnsi="Arial"/>
          <w:sz w:val="20"/>
        </w:rPr>
      </w:pPr>
      <w:r>
        <w:rPr>
          <w:rFonts w:ascii="Arial" w:hAnsi="Arial"/>
          <w:sz w:val="20"/>
        </w:rPr>
        <w:t xml:space="preserve">Reports </w:t>
      </w:r>
      <w:r w:rsidRPr="00F228F9">
        <w:rPr>
          <w:rFonts w:ascii="Arial" w:hAnsi="Arial"/>
          <w:sz w:val="20"/>
        </w:rPr>
        <w:t>should</w:t>
      </w:r>
      <w:r>
        <w:rPr>
          <w:rFonts w:ascii="Arial" w:hAnsi="Arial"/>
          <w:sz w:val="20"/>
        </w:rPr>
        <w:t xml:space="preserve"> be sen</w:t>
      </w:r>
      <w:r w:rsidR="00C3380A">
        <w:rPr>
          <w:rFonts w:ascii="Arial" w:hAnsi="Arial"/>
          <w:sz w:val="20"/>
        </w:rPr>
        <w:t>d to the Authority</w:t>
      </w:r>
      <w:r>
        <w:rPr>
          <w:rFonts w:ascii="Arial" w:hAnsi="Arial"/>
          <w:sz w:val="20"/>
        </w:rPr>
        <w:t xml:space="preserve"> by </w:t>
      </w:r>
      <w:r w:rsidR="00C3380A">
        <w:rPr>
          <w:rFonts w:ascii="Arial" w:hAnsi="Arial"/>
          <w:sz w:val="20"/>
        </w:rPr>
        <w:t xml:space="preserve">either </w:t>
      </w:r>
      <w:r w:rsidR="00B1755D">
        <w:rPr>
          <w:rFonts w:ascii="Arial" w:hAnsi="Arial"/>
          <w:sz w:val="20"/>
        </w:rPr>
        <w:t>post</w:t>
      </w:r>
      <w:r w:rsidR="00B1755D" w:rsidRPr="00D26C39">
        <w:rPr>
          <w:rFonts w:ascii="Arial" w:hAnsi="Arial"/>
          <w:sz w:val="20"/>
        </w:rPr>
        <w:t>,</w:t>
      </w:r>
      <w:r w:rsidR="00B1755D" w:rsidRPr="00B36615">
        <w:rPr>
          <w:rFonts w:ascii="Arial" w:hAnsi="Arial"/>
          <w:sz w:val="20"/>
        </w:rPr>
        <w:t xml:space="preserve"> facsimile</w:t>
      </w:r>
      <w:r w:rsidR="00B373E2">
        <w:rPr>
          <w:rFonts w:ascii="Arial" w:hAnsi="Arial"/>
          <w:sz w:val="20"/>
        </w:rPr>
        <w:t xml:space="preserve">, </w:t>
      </w:r>
      <w:r w:rsidR="00C3380A">
        <w:rPr>
          <w:rFonts w:ascii="Arial" w:hAnsi="Arial"/>
          <w:sz w:val="20"/>
        </w:rPr>
        <w:t>or</w:t>
      </w:r>
      <w:r w:rsidR="001144CA" w:rsidRPr="00250E43">
        <w:rPr>
          <w:rFonts w:ascii="Arial" w:hAnsi="Arial"/>
          <w:sz w:val="20"/>
        </w:rPr>
        <w:t xml:space="preserve"> email</w:t>
      </w:r>
      <w:r w:rsidR="00B373E2">
        <w:rPr>
          <w:rFonts w:ascii="Arial" w:hAnsi="Arial"/>
          <w:sz w:val="20"/>
        </w:rPr>
        <w:t xml:space="preserve"> </w:t>
      </w:r>
      <w:r w:rsidR="00C3380A">
        <w:rPr>
          <w:rFonts w:ascii="Arial" w:hAnsi="Arial"/>
          <w:sz w:val="20"/>
        </w:rPr>
        <w:t>in the format stipulated in 5.3.</w:t>
      </w:r>
    </w:p>
    <w:p w:rsidR="002E3BA4" w:rsidRPr="008D38FB" w:rsidRDefault="000C3B80">
      <w:pPr>
        <w:widowControl/>
        <w:suppressAutoHyphens/>
        <w:spacing w:before="120" w:line="280" w:lineRule="atLeast"/>
        <w:ind w:left="720"/>
        <w:jc w:val="both"/>
        <w:rPr>
          <w:rFonts w:ascii="Arial" w:hAnsi="Arial"/>
          <w:sz w:val="20"/>
        </w:rPr>
      </w:pPr>
      <w:r w:rsidRPr="008D38FB">
        <w:rPr>
          <w:rFonts w:ascii="Arial" w:hAnsi="Arial"/>
          <w:sz w:val="20"/>
        </w:rPr>
        <w:t xml:space="preserve">Reportable Safety Information as reflected in the Guidelines associated with </w:t>
      </w:r>
      <w:r w:rsidRPr="008D38FB">
        <w:rPr>
          <w:rFonts w:ascii="Arial" w:hAnsi="Arial"/>
          <w:b/>
          <w:sz w:val="20"/>
        </w:rPr>
        <w:t>registered human medicines</w:t>
      </w:r>
      <w:r w:rsidRPr="008D38FB">
        <w:rPr>
          <w:rFonts w:ascii="Arial" w:hAnsi="Arial"/>
          <w:sz w:val="20"/>
        </w:rPr>
        <w:t xml:space="preserve"> must be sent to: </w:t>
      </w:r>
    </w:p>
    <w:p w:rsidR="003C1F7F" w:rsidRDefault="003C1F7F">
      <w:pPr>
        <w:widowControl/>
        <w:suppressAutoHyphens/>
        <w:spacing w:before="120" w:line="280" w:lineRule="atLeast"/>
        <w:ind w:left="720"/>
        <w:jc w:val="both"/>
        <w:rPr>
          <w:rFonts w:ascii="Arial" w:hAnsi="Arial"/>
          <w:color w:val="1F497D" w:themeColor="text2"/>
          <w:sz w:val="20"/>
        </w:rPr>
      </w:pPr>
    </w:p>
    <w:p w:rsidR="00EC3085" w:rsidRDefault="00EC3085" w:rsidP="003C1F7F">
      <w:pPr>
        <w:widowControl/>
        <w:tabs>
          <w:tab w:val="left" w:pos="1418"/>
        </w:tabs>
        <w:suppressAutoHyphens/>
        <w:spacing w:line="280" w:lineRule="atLeast"/>
        <w:ind w:left="1418"/>
        <w:jc w:val="both"/>
        <w:rPr>
          <w:rFonts w:ascii="Arial" w:hAnsi="Arial"/>
          <w:sz w:val="20"/>
        </w:rPr>
      </w:pPr>
    </w:p>
    <w:p w:rsidR="003C1F7F" w:rsidRPr="008D38FB" w:rsidRDefault="003C1F7F" w:rsidP="003C1F7F">
      <w:pPr>
        <w:widowControl/>
        <w:tabs>
          <w:tab w:val="left" w:pos="1418"/>
        </w:tabs>
        <w:suppressAutoHyphens/>
        <w:spacing w:line="280" w:lineRule="atLeast"/>
        <w:ind w:left="1418"/>
        <w:jc w:val="both"/>
        <w:rPr>
          <w:rFonts w:ascii="Arial" w:hAnsi="Arial"/>
          <w:sz w:val="20"/>
        </w:rPr>
      </w:pPr>
      <w:r w:rsidRPr="008D38FB">
        <w:rPr>
          <w:rFonts w:ascii="Arial" w:hAnsi="Arial"/>
          <w:sz w:val="20"/>
        </w:rPr>
        <w:t>SAHPRA CEO</w:t>
      </w:r>
    </w:p>
    <w:p w:rsidR="003C1F7F" w:rsidRPr="008D38FB" w:rsidRDefault="003C1F7F" w:rsidP="003C1F7F">
      <w:pPr>
        <w:widowControl/>
        <w:tabs>
          <w:tab w:val="left" w:pos="1418"/>
        </w:tabs>
        <w:suppressAutoHyphens/>
        <w:spacing w:line="280" w:lineRule="atLeast"/>
        <w:ind w:left="1418"/>
        <w:jc w:val="both"/>
        <w:rPr>
          <w:rFonts w:ascii="Arial" w:hAnsi="Arial"/>
          <w:sz w:val="20"/>
        </w:rPr>
      </w:pPr>
      <w:r w:rsidRPr="008D38FB">
        <w:rPr>
          <w:rFonts w:ascii="Arial" w:hAnsi="Arial"/>
          <w:sz w:val="20"/>
        </w:rPr>
        <w:t>CSIR Building 38</w:t>
      </w:r>
    </w:p>
    <w:p w:rsidR="003C1F7F" w:rsidRPr="008D38FB" w:rsidRDefault="003C1F7F" w:rsidP="003C1F7F">
      <w:pPr>
        <w:widowControl/>
        <w:tabs>
          <w:tab w:val="left" w:pos="1418"/>
        </w:tabs>
        <w:suppressAutoHyphens/>
        <w:spacing w:line="280" w:lineRule="atLeast"/>
        <w:ind w:left="1418"/>
        <w:jc w:val="both"/>
        <w:rPr>
          <w:rFonts w:ascii="Arial" w:hAnsi="Arial" w:cs="Arial"/>
          <w:sz w:val="20"/>
        </w:rPr>
      </w:pPr>
      <w:proofErr w:type="spellStart"/>
      <w:r w:rsidRPr="008D38FB">
        <w:rPr>
          <w:rFonts w:ascii="Arial" w:hAnsi="Arial" w:cs="Arial"/>
          <w:sz w:val="20"/>
        </w:rPr>
        <w:t>Meiring</w:t>
      </w:r>
      <w:proofErr w:type="spellEnd"/>
      <w:r w:rsidRPr="008D38FB">
        <w:rPr>
          <w:rFonts w:ascii="Arial" w:hAnsi="Arial" w:cs="Arial"/>
          <w:sz w:val="20"/>
        </w:rPr>
        <w:t xml:space="preserve"> </w:t>
      </w:r>
      <w:proofErr w:type="spellStart"/>
      <w:r w:rsidRPr="008D38FB">
        <w:rPr>
          <w:rFonts w:ascii="Arial" w:hAnsi="Arial" w:cs="Arial"/>
          <w:sz w:val="20"/>
        </w:rPr>
        <w:t>Naudé</w:t>
      </w:r>
      <w:proofErr w:type="spellEnd"/>
      <w:r w:rsidRPr="008D38FB">
        <w:rPr>
          <w:rFonts w:ascii="Arial" w:hAnsi="Arial" w:cs="Arial"/>
          <w:sz w:val="20"/>
        </w:rPr>
        <w:t xml:space="preserve"> Road, </w:t>
      </w:r>
    </w:p>
    <w:p w:rsidR="003C1F7F" w:rsidRPr="008D38FB" w:rsidRDefault="003C1F7F" w:rsidP="003C1F7F">
      <w:pPr>
        <w:widowControl/>
        <w:tabs>
          <w:tab w:val="left" w:pos="1418"/>
        </w:tabs>
        <w:suppressAutoHyphens/>
        <w:spacing w:line="280" w:lineRule="atLeast"/>
        <w:ind w:left="1418"/>
        <w:jc w:val="both"/>
        <w:rPr>
          <w:rFonts w:ascii="Arial" w:hAnsi="Arial" w:cs="Arial"/>
          <w:sz w:val="20"/>
        </w:rPr>
      </w:pPr>
      <w:proofErr w:type="spellStart"/>
      <w:r w:rsidRPr="008D38FB">
        <w:rPr>
          <w:rFonts w:ascii="Arial" w:hAnsi="Arial" w:cs="Arial"/>
          <w:sz w:val="20"/>
        </w:rPr>
        <w:t>Brummeria</w:t>
      </w:r>
      <w:proofErr w:type="spellEnd"/>
      <w:r w:rsidRPr="008D38FB">
        <w:rPr>
          <w:rFonts w:ascii="Arial" w:hAnsi="Arial" w:cs="Arial"/>
          <w:sz w:val="20"/>
        </w:rPr>
        <w:t xml:space="preserve">, </w:t>
      </w:r>
    </w:p>
    <w:p w:rsidR="003C1F7F" w:rsidRPr="008D38FB" w:rsidRDefault="003C1F7F" w:rsidP="003C1F7F">
      <w:pPr>
        <w:widowControl/>
        <w:tabs>
          <w:tab w:val="left" w:pos="1418"/>
        </w:tabs>
        <w:suppressAutoHyphens/>
        <w:spacing w:line="280" w:lineRule="atLeast"/>
        <w:ind w:left="1418"/>
        <w:jc w:val="both"/>
        <w:rPr>
          <w:rFonts w:ascii="Arial" w:hAnsi="Arial" w:cs="Arial"/>
          <w:sz w:val="20"/>
        </w:rPr>
      </w:pPr>
      <w:r w:rsidRPr="008D38FB">
        <w:rPr>
          <w:rFonts w:ascii="Arial" w:hAnsi="Arial" w:cs="Arial"/>
          <w:sz w:val="20"/>
        </w:rPr>
        <w:t>PRETORIA, 0001</w:t>
      </w:r>
    </w:p>
    <w:p w:rsidR="003C1F7F" w:rsidRPr="008D38FB" w:rsidRDefault="003C1F7F" w:rsidP="003C1F7F">
      <w:pPr>
        <w:widowControl/>
        <w:suppressAutoHyphens/>
        <w:spacing w:line="280" w:lineRule="atLeast"/>
        <w:ind w:left="1418"/>
        <w:jc w:val="both"/>
        <w:rPr>
          <w:rFonts w:ascii="Arial" w:hAnsi="Arial"/>
          <w:sz w:val="20"/>
        </w:rPr>
      </w:pPr>
    </w:p>
    <w:p w:rsidR="003C1F7F" w:rsidRPr="008D38FB" w:rsidRDefault="003C1F7F" w:rsidP="003C1F7F">
      <w:pPr>
        <w:widowControl/>
        <w:tabs>
          <w:tab w:val="left" w:pos="1418"/>
          <w:tab w:val="left" w:pos="2268"/>
        </w:tabs>
        <w:suppressAutoHyphens/>
        <w:spacing w:line="280" w:lineRule="atLeast"/>
        <w:ind w:left="1418"/>
        <w:jc w:val="both"/>
        <w:rPr>
          <w:rFonts w:ascii="Arial" w:hAnsi="Arial"/>
          <w:sz w:val="20"/>
        </w:rPr>
      </w:pPr>
      <w:r w:rsidRPr="008D38FB">
        <w:rPr>
          <w:rFonts w:ascii="Arial" w:hAnsi="Arial"/>
          <w:sz w:val="20"/>
        </w:rPr>
        <w:t>Tel:</w:t>
      </w:r>
      <w:r w:rsidRPr="008D38FB">
        <w:rPr>
          <w:rFonts w:ascii="Arial" w:hAnsi="Arial"/>
          <w:sz w:val="20"/>
        </w:rPr>
        <w:tab/>
        <w:t>012 842 7609/10</w:t>
      </w:r>
    </w:p>
    <w:p w:rsidR="003C1F7F" w:rsidRPr="008D38FB" w:rsidRDefault="003C1F7F" w:rsidP="003C1F7F">
      <w:pPr>
        <w:widowControl/>
        <w:tabs>
          <w:tab w:val="left" w:pos="1843"/>
          <w:tab w:val="left" w:pos="1985"/>
          <w:tab w:val="left" w:pos="2127"/>
          <w:tab w:val="left" w:pos="2552"/>
        </w:tabs>
        <w:suppressAutoHyphens/>
        <w:spacing w:line="280" w:lineRule="atLeast"/>
        <w:ind w:left="1418"/>
        <w:rPr>
          <w:rFonts w:ascii="Arial" w:hAnsi="Arial"/>
          <w:sz w:val="20"/>
        </w:rPr>
      </w:pPr>
      <w:r w:rsidRPr="008D38FB">
        <w:rPr>
          <w:rFonts w:ascii="Arial" w:hAnsi="Arial"/>
          <w:sz w:val="20"/>
        </w:rPr>
        <w:t>Email:      adr@</w:t>
      </w:r>
      <w:r w:rsidR="008D38FB" w:rsidRPr="008D38FB">
        <w:rPr>
          <w:rFonts w:ascii="Arial" w:hAnsi="Arial"/>
          <w:sz w:val="20"/>
        </w:rPr>
        <w:t xml:space="preserve">sahpra.org.za </w:t>
      </w:r>
    </w:p>
    <w:p w:rsidR="008D38FB" w:rsidRPr="008D38FB" w:rsidRDefault="008D38FB" w:rsidP="003C1F7F">
      <w:pPr>
        <w:widowControl/>
        <w:tabs>
          <w:tab w:val="left" w:pos="1843"/>
          <w:tab w:val="left" w:pos="1985"/>
          <w:tab w:val="left" w:pos="2127"/>
          <w:tab w:val="left" w:pos="2552"/>
        </w:tabs>
        <w:suppressAutoHyphens/>
        <w:spacing w:line="280" w:lineRule="atLeast"/>
        <w:ind w:left="1418"/>
        <w:rPr>
          <w:rFonts w:ascii="Arial" w:hAnsi="Arial"/>
          <w:sz w:val="20"/>
        </w:rPr>
      </w:pPr>
      <w:r w:rsidRPr="008D38FB">
        <w:rPr>
          <w:rFonts w:ascii="Arial" w:hAnsi="Arial"/>
          <w:sz w:val="20"/>
        </w:rPr>
        <w:tab/>
      </w:r>
      <w:r w:rsidRPr="008D38FB">
        <w:rPr>
          <w:rFonts w:ascii="Arial" w:hAnsi="Arial"/>
          <w:sz w:val="20"/>
        </w:rPr>
        <w:tab/>
      </w:r>
      <w:r w:rsidRPr="008D38FB">
        <w:rPr>
          <w:rFonts w:ascii="Arial" w:hAnsi="Arial"/>
          <w:sz w:val="20"/>
        </w:rPr>
        <w:tab/>
        <w:t xml:space="preserve">   </w:t>
      </w:r>
      <w:hyperlink r:id="rId12" w:history="1">
        <w:r w:rsidRPr="008D38FB">
          <w:rPr>
            <w:rStyle w:val="Hyperlink"/>
            <w:rFonts w:ascii="Arial" w:hAnsi="Arial"/>
            <w:color w:val="auto"/>
            <w:sz w:val="20"/>
          </w:rPr>
          <w:t>e2b@sahpra.org.za</w:t>
        </w:r>
      </w:hyperlink>
      <w:r w:rsidRPr="008D38FB">
        <w:rPr>
          <w:rFonts w:ascii="Arial" w:hAnsi="Arial"/>
          <w:sz w:val="20"/>
        </w:rPr>
        <w:t xml:space="preserve"> (for reports in e2b format only)</w:t>
      </w:r>
    </w:p>
    <w:p w:rsidR="003C1F7F" w:rsidRPr="008D38FB" w:rsidRDefault="003C1F7F" w:rsidP="003C1F7F">
      <w:pPr>
        <w:widowControl/>
        <w:tabs>
          <w:tab w:val="left" w:pos="1843"/>
          <w:tab w:val="left" w:pos="1985"/>
          <w:tab w:val="left" w:pos="2127"/>
          <w:tab w:val="left" w:pos="2552"/>
        </w:tabs>
        <w:suppressAutoHyphens/>
        <w:spacing w:line="280" w:lineRule="atLeast"/>
        <w:ind w:left="1418"/>
        <w:rPr>
          <w:rFonts w:ascii="Arial" w:hAnsi="Arial"/>
          <w:sz w:val="20"/>
        </w:rPr>
      </w:pPr>
    </w:p>
    <w:p w:rsidR="003C1F7F" w:rsidRDefault="003C1F7F" w:rsidP="003C1F7F">
      <w:pPr>
        <w:widowControl/>
        <w:tabs>
          <w:tab w:val="left" w:pos="1843"/>
          <w:tab w:val="left" w:pos="1985"/>
          <w:tab w:val="left" w:pos="2127"/>
          <w:tab w:val="left" w:pos="2552"/>
        </w:tabs>
        <w:suppressAutoHyphens/>
        <w:spacing w:line="280" w:lineRule="atLeast"/>
        <w:ind w:left="1418"/>
        <w:rPr>
          <w:rFonts w:ascii="Arial" w:hAnsi="Arial"/>
          <w:sz w:val="20"/>
        </w:rPr>
      </w:pPr>
      <w:r w:rsidRPr="008D38FB">
        <w:rPr>
          <w:rFonts w:ascii="Arial" w:hAnsi="Arial"/>
          <w:sz w:val="20"/>
        </w:rPr>
        <w:t>OR</w:t>
      </w:r>
    </w:p>
    <w:p w:rsidR="00EC3085" w:rsidRPr="008D38FB" w:rsidRDefault="00EC3085" w:rsidP="003C1F7F">
      <w:pPr>
        <w:widowControl/>
        <w:tabs>
          <w:tab w:val="left" w:pos="1843"/>
          <w:tab w:val="left" w:pos="1985"/>
          <w:tab w:val="left" w:pos="2127"/>
          <w:tab w:val="left" w:pos="2552"/>
        </w:tabs>
        <w:suppressAutoHyphens/>
        <w:spacing w:line="280" w:lineRule="atLeast"/>
        <w:ind w:left="1418"/>
        <w:rPr>
          <w:rFonts w:ascii="Arial" w:hAnsi="Arial"/>
          <w:sz w:val="20"/>
        </w:rPr>
      </w:pPr>
    </w:p>
    <w:p w:rsidR="002E3BA4" w:rsidRPr="008D38FB" w:rsidRDefault="00B373E2">
      <w:pPr>
        <w:widowControl/>
        <w:tabs>
          <w:tab w:val="left" w:pos="630"/>
        </w:tabs>
        <w:suppressAutoHyphens/>
        <w:spacing w:line="280" w:lineRule="atLeast"/>
        <w:ind w:left="720"/>
        <w:jc w:val="both"/>
        <w:rPr>
          <w:rFonts w:ascii="Arial" w:hAnsi="Arial"/>
          <w:sz w:val="20"/>
        </w:rPr>
      </w:pPr>
      <w:r w:rsidRPr="008D38FB">
        <w:rPr>
          <w:rFonts w:ascii="Arial" w:hAnsi="Arial"/>
          <w:sz w:val="20"/>
        </w:rPr>
        <w:tab/>
      </w:r>
      <w:r w:rsidR="000C3B80" w:rsidRPr="008D38FB">
        <w:rPr>
          <w:rFonts w:ascii="Arial" w:hAnsi="Arial"/>
          <w:sz w:val="20"/>
        </w:rPr>
        <w:t xml:space="preserve">National Adverse Drug Event Monitoring Centre </w:t>
      </w:r>
    </w:p>
    <w:p w:rsidR="00840E47" w:rsidRPr="008D38FB" w:rsidRDefault="00840E47" w:rsidP="00840E47">
      <w:pPr>
        <w:widowControl/>
        <w:tabs>
          <w:tab w:val="left" w:pos="1350"/>
        </w:tabs>
        <w:suppressAutoHyphens/>
        <w:spacing w:line="280" w:lineRule="atLeast"/>
        <w:ind w:left="1418" w:hanging="68"/>
        <w:jc w:val="both"/>
        <w:rPr>
          <w:rFonts w:ascii="Arial" w:hAnsi="Arial"/>
          <w:sz w:val="20"/>
        </w:rPr>
      </w:pPr>
      <w:r w:rsidRPr="008D38FB">
        <w:rPr>
          <w:rFonts w:ascii="Arial" w:hAnsi="Arial"/>
          <w:sz w:val="20"/>
        </w:rPr>
        <w:t>South African Health Products Regulatory Authority</w:t>
      </w:r>
    </w:p>
    <w:p w:rsidR="000C3B80" w:rsidRPr="008D38FB" w:rsidRDefault="000C3B80" w:rsidP="00840E47">
      <w:pPr>
        <w:widowControl/>
        <w:tabs>
          <w:tab w:val="left" w:pos="1350"/>
        </w:tabs>
        <w:suppressAutoHyphens/>
        <w:spacing w:line="280" w:lineRule="atLeast"/>
        <w:ind w:left="1418" w:hanging="68"/>
        <w:jc w:val="both"/>
        <w:rPr>
          <w:rFonts w:ascii="Arial" w:hAnsi="Arial"/>
          <w:sz w:val="20"/>
        </w:rPr>
      </w:pPr>
      <w:r w:rsidRPr="008D38FB">
        <w:rPr>
          <w:rFonts w:ascii="Arial" w:hAnsi="Arial"/>
          <w:sz w:val="20"/>
        </w:rPr>
        <w:t xml:space="preserve">C/o Division of Pharmacology </w:t>
      </w:r>
    </w:p>
    <w:p w:rsidR="000C3B80" w:rsidRPr="008D38FB" w:rsidRDefault="000C3B80" w:rsidP="00840E47">
      <w:pPr>
        <w:widowControl/>
        <w:tabs>
          <w:tab w:val="left" w:pos="1350"/>
        </w:tabs>
        <w:suppressAutoHyphens/>
        <w:spacing w:line="280" w:lineRule="atLeast"/>
        <w:ind w:left="1418" w:hanging="68"/>
        <w:jc w:val="both"/>
        <w:rPr>
          <w:rFonts w:ascii="Arial" w:hAnsi="Arial"/>
          <w:sz w:val="20"/>
        </w:rPr>
      </w:pPr>
      <w:r w:rsidRPr="008D38FB">
        <w:rPr>
          <w:rFonts w:ascii="Arial" w:hAnsi="Arial"/>
          <w:sz w:val="20"/>
        </w:rPr>
        <w:t>University of Cape Town</w:t>
      </w:r>
    </w:p>
    <w:p w:rsidR="000C3B80" w:rsidRPr="008D38FB" w:rsidRDefault="000C3B80" w:rsidP="00840E47">
      <w:pPr>
        <w:widowControl/>
        <w:tabs>
          <w:tab w:val="left" w:pos="1350"/>
        </w:tabs>
        <w:suppressAutoHyphens/>
        <w:spacing w:line="280" w:lineRule="atLeast"/>
        <w:ind w:left="1418" w:hanging="68"/>
        <w:jc w:val="both"/>
        <w:rPr>
          <w:rFonts w:ascii="Arial" w:hAnsi="Arial"/>
          <w:sz w:val="20"/>
        </w:rPr>
      </w:pPr>
      <w:r w:rsidRPr="008D38FB">
        <w:rPr>
          <w:rFonts w:ascii="Arial" w:hAnsi="Arial"/>
          <w:sz w:val="20"/>
        </w:rPr>
        <w:t xml:space="preserve">Observatory </w:t>
      </w:r>
    </w:p>
    <w:p w:rsidR="000C3B80" w:rsidRPr="008D38FB" w:rsidRDefault="000C3B80" w:rsidP="00840E47">
      <w:pPr>
        <w:widowControl/>
        <w:tabs>
          <w:tab w:val="left" w:pos="1350"/>
        </w:tabs>
        <w:suppressAutoHyphens/>
        <w:spacing w:line="280" w:lineRule="atLeast"/>
        <w:ind w:left="1418" w:hanging="68"/>
        <w:jc w:val="both"/>
        <w:rPr>
          <w:rFonts w:ascii="Arial" w:hAnsi="Arial"/>
          <w:sz w:val="20"/>
        </w:rPr>
      </w:pPr>
      <w:r w:rsidRPr="008D38FB">
        <w:rPr>
          <w:rFonts w:ascii="Arial" w:hAnsi="Arial"/>
          <w:sz w:val="20"/>
        </w:rPr>
        <w:t>7925</w:t>
      </w:r>
    </w:p>
    <w:p w:rsidR="000C3B80" w:rsidRPr="008D38FB" w:rsidRDefault="000C3B80" w:rsidP="000C3B80">
      <w:pPr>
        <w:widowControl/>
        <w:tabs>
          <w:tab w:val="left" w:pos="1418"/>
        </w:tabs>
        <w:suppressAutoHyphens/>
        <w:spacing w:line="280" w:lineRule="atLeast"/>
        <w:ind w:left="1418"/>
        <w:jc w:val="both"/>
        <w:rPr>
          <w:rFonts w:ascii="Arial" w:hAnsi="Arial"/>
          <w:sz w:val="20"/>
        </w:rPr>
      </w:pPr>
    </w:p>
    <w:p w:rsidR="000C3B80" w:rsidRPr="008D38FB" w:rsidRDefault="000C3B80" w:rsidP="000C3B80">
      <w:pPr>
        <w:widowControl/>
        <w:tabs>
          <w:tab w:val="left" w:pos="1418"/>
          <w:tab w:val="left" w:pos="2268"/>
        </w:tabs>
        <w:suppressAutoHyphens/>
        <w:spacing w:line="280" w:lineRule="atLeast"/>
        <w:ind w:left="1418"/>
        <w:jc w:val="both"/>
        <w:rPr>
          <w:rFonts w:ascii="Arial" w:hAnsi="Arial"/>
          <w:sz w:val="20"/>
        </w:rPr>
      </w:pPr>
      <w:r w:rsidRPr="008D38FB">
        <w:rPr>
          <w:rFonts w:ascii="Arial" w:hAnsi="Arial"/>
          <w:sz w:val="20"/>
        </w:rPr>
        <w:t>Tel:</w:t>
      </w:r>
      <w:r w:rsidRPr="008D38FB">
        <w:rPr>
          <w:rFonts w:ascii="Arial" w:hAnsi="Arial"/>
          <w:sz w:val="20"/>
        </w:rPr>
        <w:tab/>
        <w:t xml:space="preserve">021 4471618 </w:t>
      </w:r>
    </w:p>
    <w:p w:rsidR="00B373E2" w:rsidRDefault="000C3B80" w:rsidP="00AB2DA5">
      <w:pPr>
        <w:widowControl/>
        <w:tabs>
          <w:tab w:val="left" w:pos="1418"/>
          <w:tab w:val="left" w:pos="2268"/>
        </w:tabs>
        <w:suppressAutoHyphens/>
        <w:spacing w:line="280" w:lineRule="atLeast"/>
        <w:ind w:left="1418"/>
        <w:jc w:val="both"/>
        <w:rPr>
          <w:rFonts w:ascii="Arial" w:hAnsi="Arial"/>
          <w:sz w:val="20"/>
        </w:rPr>
      </w:pPr>
      <w:r w:rsidRPr="008D38FB">
        <w:rPr>
          <w:rFonts w:ascii="Arial" w:hAnsi="Arial"/>
          <w:sz w:val="20"/>
        </w:rPr>
        <w:t>Fax:</w:t>
      </w:r>
      <w:r w:rsidRPr="008D38FB">
        <w:rPr>
          <w:rFonts w:ascii="Arial" w:hAnsi="Arial"/>
          <w:sz w:val="20"/>
        </w:rPr>
        <w:tab/>
        <w:t>021 448 6181</w:t>
      </w:r>
    </w:p>
    <w:p w:rsidR="000C3B80" w:rsidRDefault="000C3B80" w:rsidP="000C3B80">
      <w:pPr>
        <w:widowControl/>
        <w:tabs>
          <w:tab w:val="left" w:pos="1418"/>
        </w:tabs>
        <w:suppressAutoHyphens/>
        <w:spacing w:line="280" w:lineRule="atLeast"/>
        <w:ind w:left="1418"/>
        <w:jc w:val="both"/>
        <w:rPr>
          <w:rFonts w:ascii="Arial" w:hAnsi="Arial"/>
          <w:sz w:val="20"/>
        </w:rPr>
      </w:pPr>
    </w:p>
    <w:p w:rsidR="00A64F63" w:rsidRPr="007E5E29" w:rsidRDefault="00A64F63" w:rsidP="008D38FB">
      <w:pPr>
        <w:pStyle w:val="Heading2"/>
        <w:numPr>
          <w:ilvl w:val="1"/>
          <w:numId w:val="41"/>
        </w:numPr>
      </w:pPr>
      <w:bookmarkStart w:id="98" w:name="_Toc5282805"/>
      <w:r w:rsidRPr="007E5E29">
        <w:t xml:space="preserve">Report Format </w:t>
      </w:r>
      <w:r>
        <w:t>a</w:t>
      </w:r>
      <w:r w:rsidRPr="007E5E29">
        <w:t>nd Details</w:t>
      </w:r>
      <w:bookmarkEnd w:id="98"/>
    </w:p>
    <w:p w:rsidR="008D38FB" w:rsidRDefault="00A64F63" w:rsidP="00AB2DA5">
      <w:pPr>
        <w:widowControl/>
        <w:numPr>
          <w:ilvl w:val="0"/>
          <w:numId w:val="27"/>
        </w:numPr>
        <w:tabs>
          <w:tab w:val="clear" w:pos="1287"/>
          <w:tab w:val="left" w:pos="1247"/>
        </w:tabs>
        <w:suppressAutoHyphens/>
        <w:spacing w:before="120" w:line="280" w:lineRule="atLeast"/>
        <w:ind w:left="1247" w:hanging="567"/>
        <w:jc w:val="both"/>
        <w:rPr>
          <w:rFonts w:ascii="Arial" w:hAnsi="Arial"/>
          <w:sz w:val="20"/>
        </w:rPr>
      </w:pPr>
      <w:r w:rsidRPr="008D38FB">
        <w:rPr>
          <w:rFonts w:ascii="Arial" w:hAnsi="Arial"/>
          <w:sz w:val="20"/>
        </w:rPr>
        <w:t xml:space="preserve">Reporting can be done using the adverse reaction report form available from the </w:t>
      </w:r>
      <w:r w:rsidR="00C31C4E" w:rsidRPr="008D38FB">
        <w:rPr>
          <w:rFonts w:ascii="Arial" w:hAnsi="Arial"/>
          <w:sz w:val="20"/>
        </w:rPr>
        <w:t xml:space="preserve">Pretoria or </w:t>
      </w:r>
      <w:r w:rsidRPr="008D38FB">
        <w:rPr>
          <w:rFonts w:ascii="Arial" w:hAnsi="Arial"/>
          <w:sz w:val="20"/>
        </w:rPr>
        <w:t>NADEMC</w:t>
      </w:r>
      <w:r w:rsidR="00C31C4E" w:rsidRPr="008D38FB">
        <w:rPr>
          <w:rFonts w:ascii="Arial" w:hAnsi="Arial"/>
          <w:sz w:val="20"/>
        </w:rPr>
        <w:t xml:space="preserve"> offices</w:t>
      </w:r>
      <w:r w:rsidRPr="008D38FB">
        <w:rPr>
          <w:rFonts w:ascii="Arial" w:hAnsi="Arial"/>
          <w:sz w:val="20"/>
        </w:rPr>
        <w:t xml:space="preserve">, </w:t>
      </w:r>
      <w:r w:rsidR="001318F7" w:rsidRPr="008D38FB">
        <w:rPr>
          <w:rFonts w:ascii="Arial" w:hAnsi="Arial"/>
          <w:sz w:val="20"/>
        </w:rPr>
        <w:t xml:space="preserve">the Authority's website </w:t>
      </w:r>
      <w:r w:rsidRPr="008D38FB">
        <w:rPr>
          <w:rFonts w:ascii="Arial" w:hAnsi="Arial"/>
          <w:sz w:val="20"/>
        </w:rPr>
        <w:t xml:space="preserve">or </w:t>
      </w:r>
      <w:r w:rsidR="00B54E62" w:rsidRPr="008D38FB">
        <w:rPr>
          <w:rFonts w:ascii="Arial" w:hAnsi="Arial"/>
          <w:sz w:val="20"/>
        </w:rPr>
        <w:t xml:space="preserve">the </w:t>
      </w:r>
      <w:r w:rsidR="00A402AB" w:rsidRPr="008D38FB">
        <w:rPr>
          <w:rFonts w:ascii="Arial" w:hAnsi="Arial"/>
          <w:sz w:val="20"/>
        </w:rPr>
        <w:t>holder</w:t>
      </w:r>
      <w:r w:rsidR="00AF46CB" w:rsidRPr="008D38FB">
        <w:rPr>
          <w:rFonts w:ascii="Arial" w:hAnsi="Arial"/>
          <w:sz w:val="20"/>
        </w:rPr>
        <w:t xml:space="preserve">s </w:t>
      </w:r>
      <w:r w:rsidR="00B54E62" w:rsidRPr="008D38FB">
        <w:rPr>
          <w:rFonts w:ascii="Arial" w:hAnsi="Arial"/>
          <w:sz w:val="20"/>
        </w:rPr>
        <w:t xml:space="preserve">or </w:t>
      </w:r>
      <w:r w:rsidR="0042436A" w:rsidRPr="008D38FB">
        <w:rPr>
          <w:rFonts w:ascii="Arial" w:hAnsi="Arial"/>
          <w:sz w:val="20"/>
        </w:rPr>
        <w:t>applicant</w:t>
      </w:r>
      <w:r w:rsidR="00AF46CB" w:rsidRPr="008D38FB">
        <w:rPr>
          <w:rFonts w:ascii="Arial" w:hAnsi="Arial"/>
          <w:sz w:val="20"/>
        </w:rPr>
        <w:t>s</w:t>
      </w:r>
      <w:r w:rsidR="00840E47" w:rsidRPr="008D38FB">
        <w:rPr>
          <w:rFonts w:ascii="Arial" w:hAnsi="Arial"/>
          <w:sz w:val="20"/>
        </w:rPr>
        <w:t xml:space="preserve"> </w:t>
      </w:r>
      <w:r w:rsidRPr="008D38FB">
        <w:rPr>
          <w:rFonts w:ascii="Arial" w:hAnsi="Arial"/>
          <w:sz w:val="20"/>
        </w:rPr>
        <w:t>may use their in-house report</w:t>
      </w:r>
      <w:r w:rsidR="001318F7" w:rsidRPr="008D38FB">
        <w:rPr>
          <w:rFonts w:ascii="Arial" w:hAnsi="Arial"/>
          <w:sz w:val="20"/>
        </w:rPr>
        <w:t>ing</w:t>
      </w:r>
      <w:r w:rsidRPr="008D38FB">
        <w:rPr>
          <w:rFonts w:ascii="Arial" w:hAnsi="Arial"/>
          <w:sz w:val="20"/>
        </w:rPr>
        <w:t xml:space="preserve"> forms (including the </w:t>
      </w:r>
      <w:r w:rsidR="00C3380A" w:rsidRPr="008D38FB">
        <w:rPr>
          <w:rFonts w:ascii="Arial" w:hAnsi="Arial"/>
          <w:sz w:val="20"/>
        </w:rPr>
        <w:t>Council for International Organisations of Medical Sciences (CIOMS) I</w:t>
      </w:r>
      <w:r w:rsidRPr="008D38FB">
        <w:rPr>
          <w:rFonts w:ascii="Arial" w:hAnsi="Arial"/>
          <w:sz w:val="20"/>
        </w:rPr>
        <w:t xml:space="preserve"> format) provided all the </w:t>
      </w:r>
      <w:r w:rsidR="00EC3085">
        <w:rPr>
          <w:rFonts w:ascii="Arial" w:hAnsi="Arial"/>
          <w:sz w:val="20"/>
        </w:rPr>
        <w:t xml:space="preserve">four </w:t>
      </w:r>
      <w:r w:rsidR="000E372B" w:rsidRPr="008D38FB">
        <w:rPr>
          <w:rFonts w:ascii="Arial" w:hAnsi="Arial"/>
          <w:sz w:val="20"/>
        </w:rPr>
        <w:t>minimum</w:t>
      </w:r>
      <w:r w:rsidRPr="008D38FB">
        <w:rPr>
          <w:rFonts w:ascii="Arial" w:hAnsi="Arial"/>
          <w:sz w:val="20"/>
        </w:rPr>
        <w:t xml:space="preserve"> data elements are included on the form in a readable format</w:t>
      </w:r>
      <w:r w:rsidR="000E372B" w:rsidRPr="008D38FB">
        <w:rPr>
          <w:rFonts w:ascii="Arial" w:hAnsi="Arial"/>
          <w:sz w:val="20"/>
        </w:rPr>
        <w:t>, which include an identifiable reporter, an identifiable patient, a suspect product and an adverse reaction.</w:t>
      </w:r>
      <w:r w:rsidR="00C3380A" w:rsidRPr="008D38FB">
        <w:rPr>
          <w:rFonts w:ascii="Arial" w:hAnsi="Arial"/>
          <w:sz w:val="20"/>
        </w:rPr>
        <w:t xml:space="preserve"> </w:t>
      </w:r>
    </w:p>
    <w:p w:rsidR="008D38FB" w:rsidRDefault="00C3380A" w:rsidP="00AB2DA5">
      <w:pPr>
        <w:widowControl/>
        <w:numPr>
          <w:ilvl w:val="0"/>
          <w:numId w:val="27"/>
        </w:numPr>
        <w:tabs>
          <w:tab w:val="clear" w:pos="1287"/>
          <w:tab w:val="left" w:pos="1247"/>
        </w:tabs>
        <w:suppressAutoHyphens/>
        <w:spacing w:before="120" w:line="280" w:lineRule="atLeast"/>
        <w:ind w:left="1247" w:hanging="567"/>
        <w:jc w:val="both"/>
        <w:rPr>
          <w:rFonts w:ascii="Arial" w:hAnsi="Arial"/>
          <w:sz w:val="20"/>
        </w:rPr>
      </w:pPr>
      <w:r w:rsidRPr="008D38FB">
        <w:rPr>
          <w:rFonts w:ascii="Arial" w:hAnsi="Arial"/>
          <w:sz w:val="20"/>
        </w:rPr>
        <w:t xml:space="preserve">Reports can also be submitted to the Authority in the E2B format using the xml file. </w:t>
      </w:r>
    </w:p>
    <w:p w:rsidR="00A64F63" w:rsidRPr="008D38FB" w:rsidRDefault="00AF46CB" w:rsidP="008D38FB">
      <w:pPr>
        <w:widowControl/>
        <w:numPr>
          <w:ilvl w:val="0"/>
          <w:numId w:val="27"/>
        </w:numPr>
        <w:tabs>
          <w:tab w:val="clear" w:pos="1287"/>
          <w:tab w:val="left" w:pos="1247"/>
        </w:tabs>
        <w:suppressAutoHyphens/>
        <w:spacing w:before="120" w:line="280" w:lineRule="atLeast"/>
        <w:ind w:left="1247" w:hanging="567"/>
        <w:jc w:val="both"/>
        <w:rPr>
          <w:rFonts w:ascii="Arial" w:hAnsi="Arial"/>
          <w:sz w:val="20"/>
        </w:rPr>
      </w:pPr>
      <w:r w:rsidRPr="008D38FB">
        <w:rPr>
          <w:rFonts w:ascii="Arial" w:hAnsi="Arial"/>
          <w:sz w:val="20"/>
        </w:rPr>
        <w:t xml:space="preserve">Holders or applicants </w:t>
      </w:r>
      <w:r w:rsidR="00A64F63" w:rsidRPr="008D38FB">
        <w:rPr>
          <w:rFonts w:ascii="Arial" w:hAnsi="Arial"/>
          <w:sz w:val="20"/>
        </w:rPr>
        <w:t xml:space="preserve">should submit </w:t>
      </w:r>
      <w:r w:rsidR="00A64F63" w:rsidRPr="008D38FB">
        <w:rPr>
          <w:rFonts w:ascii="Arial" w:hAnsi="Arial"/>
          <w:b/>
          <w:sz w:val="20"/>
        </w:rPr>
        <w:t>ALL</w:t>
      </w:r>
      <w:r w:rsidR="00A64F63" w:rsidRPr="008D38FB">
        <w:rPr>
          <w:rFonts w:ascii="Arial" w:hAnsi="Arial"/>
          <w:sz w:val="20"/>
        </w:rPr>
        <w:t xml:space="preserve"> the </w:t>
      </w:r>
      <w:r w:rsidR="00A64F63" w:rsidRPr="008D38FB">
        <w:rPr>
          <w:rFonts w:ascii="Arial" w:hAnsi="Arial"/>
          <w:b/>
          <w:sz w:val="20"/>
        </w:rPr>
        <w:t>relevant</w:t>
      </w:r>
      <w:r w:rsidR="00A64F63" w:rsidRPr="008D38FB">
        <w:rPr>
          <w:rFonts w:ascii="Arial" w:hAnsi="Arial"/>
          <w:sz w:val="20"/>
        </w:rPr>
        <w:t xml:space="preserve"> information available at the time of initial notification of an adverse drug reaction report, not only the </w:t>
      </w:r>
      <w:r w:rsidR="00EC3085">
        <w:rPr>
          <w:rFonts w:ascii="Arial" w:hAnsi="Arial"/>
          <w:sz w:val="20"/>
        </w:rPr>
        <w:t xml:space="preserve">four </w:t>
      </w:r>
      <w:r w:rsidR="00A64F63" w:rsidRPr="008D38FB">
        <w:rPr>
          <w:rFonts w:ascii="Arial" w:hAnsi="Arial"/>
          <w:sz w:val="20"/>
        </w:rPr>
        <w:t xml:space="preserve">minimum </w:t>
      </w:r>
      <w:r w:rsidR="00EC3085">
        <w:rPr>
          <w:rFonts w:ascii="Arial" w:hAnsi="Arial"/>
          <w:sz w:val="20"/>
        </w:rPr>
        <w:t>data elements</w:t>
      </w:r>
      <w:r w:rsidR="00A64F63" w:rsidRPr="008D38FB">
        <w:rPr>
          <w:rFonts w:ascii="Arial" w:hAnsi="Arial"/>
          <w:sz w:val="20"/>
        </w:rPr>
        <w:t xml:space="preserve"> required for a report.  The attachment of discharge summaries, post-mortem reports, relevant laboratory data and other additional clinical data, is encouraged.</w:t>
      </w:r>
    </w:p>
    <w:p w:rsidR="008D38FB" w:rsidRDefault="00A64F63" w:rsidP="008D38FB">
      <w:pPr>
        <w:widowControl/>
        <w:numPr>
          <w:ilvl w:val="0"/>
          <w:numId w:val="27"/>
        </w:numPr>
        <w:tabs>
          <w:tab w:val="clear" w:pos="1287"/>
          <w:tab w:val="left" w:pos="1247"/>
        </w:tabs>
        <w:suppressAutoHyphens/>
        <w:spacing w:before="120" w:line="280" w:lineRule="atLeast"/>
        <w:ind w:left="1247" w:hanging="567"/>
        <w:jc w:val="both"/>
        <w:rPr>
          <w:rFonts w:ascii="Arial" w:hAnsi="Arial"/>
          <w:sz w:val="20"/>
        </w:rPr>
      </w:pPr>
      <w:r w:rsidRPr="007831A0">
        <w:rPr>
          <w:rFonts w:ascii="Arial" w:hAnsi="Arial"/>
          <w:sz w:val="20"/>
        </w:rPr>
        <w:t>The original words/description (verbatim) used by the initial reporter to describe the adverse reaction should be provided.  The medicine name as reported by the initial reporter must be provided, preferably the proprietary name.</w:t>
      </w:r>
    </w:p>
    <w:p w:rsidR="00A64F63" w:rsidRPr="008D38FB" w:rsidRDefault="00A64F63" w:rsidP="008D38FB">
      <w:pPr>
        <w:widowControl/>
        <w:numPr>
          <w:ilvl w:val="0"/>
          <w:numId w:val="27"/>
        </w:numPr>
        <w:tabs>
          <w:tab w:val="clear" w:pos="1287"/>
          <w:tab w:val="left" w:pos="1247"/>
        </w:tabs>
        <w:suppressAutoHyphens/>
        <w:spacing w:before="120" w:line="280" w:lineRule="atLeast"/>
        <w:ind w:left="1247" w:hanging="567"/>
        <w:jc w:val="both"/>
        <w:rPr>
          <w:rFonts w:ascii="Arial" w:hAnsi="Arial"/>
          <w:sz w:val="20"/>
        </w:rPr>
      </w:pPr>
      <w:r w:rsidRPr="008D38FB">
        <w:rPr>
          <w:rFonts w:ascii="Arial" w:hAnsi="Arial"/>
          <w:sz w:val="20"/>
        </w:rPr>
        <w:t>Additional information, not available at the time of the initial report, should be provided in the form of follow-up reports.</w:t>
      </w:r>
    </w:p>
    <w:p w:rsidR="00A64F63" w:rsidRPr="007831A0" w:rsidRDefault="00A64F63" w:rsidP="00A64F63">
      <w:pPr>
        <w:widowControl/>
        <w:numPr>
          <w:ilvl w:val="0"/>
          <w:numId w:val="27"/>
        </w:numPr>
        <w:tabs>
          <w:tab w:val="clear" w:pos="1287"/>
          <w:tab w:val="left" w:pos="1247"/>
        </w:tabs>
        <w:suppressAutoHyphens/>
        <w:spacing w:before="120" w:line="280" w:lineRule="atLeast"/>
        <w:ind w:left="1247" w:hanging="567"/>
        <w:jc w:val="both"/>
        <w:rPr>
          <w:rFonts w:ascii="Arial" w:hAnsi="Arial"/>
          <w:sz w:val="20"/>
        </w:rPr>
      </w:pPr>
      <w:r w:rsidRPr="007831A0">
        <w:rPr>
          <w:rFonts w:ascii="Arial" w:hAnsi="Arial"/>
          <w:sz w:val="20"/>
        </w:rPr>
        <w:t>The</w:t>
      </w:r>
      <w:r w:rsidR="00840E47">
        <w:rPr>
          <w:rFonts w:ascii="Arial" w:hAnsi="Arial"/>
          <w:sz w:val="20"/>
        </w:rPr>
        <w:t xml:space="preserve"> </w:t>
      </w:r>
      <w:r w:rsidR="002C5C91" w:rsidRPr="007831A0">
        <w:rPr>
          <w:rFonts w:ascii="Arial" w:hAnsi="Arial"/>
          <w:sz w:val="20"/>
        </w:rPr>
        <w:t>holder</w:t>
      </w:r>
      <w:r w:rsidR="00840E47">
        <w:rPr>
          <w:rFonts w:ascii="Arial" w:hAnsi="Arial"/>
          <w:sz w:val="20"/>
        </w:rPr>
        <w:t xml:space="preserve"> </w:t>
      </w:r>
      <w:r w:rsidR="002C5C91" w:rsidRPr="007831A0">
        <w:rPr>
          <w:rFonts w:ascii="Arial" w:hAnsi="Arial"/>
          <w:sz w:val="20"/>
        </w:rPr>
        <w:t xml:space="preserve">or </w:t>
      </w:r>
      <w:r w:rsidR="0042436A" w:rsidRPr="007831A0">
        <w:rPr>
          <w:rFonts w:ascii="Arial" w:hAnsi="Arial"/>
          <w:sz w:val="20"/>
        </w:rPr>
        <w:t>applicant</w:t>
      </w:r>
      <w:r w:rsidR="00840E47">
        <w:rPr>
          <w:rFonts w:ascii="Arial" w:hAnsi="Arial"/>
          <w:sz w:val="20"/>
        </w:rPr>
        <w:t xml:space="preserve"> </w:t>
      </w:r>
      <w:r w:rsidRPr="007831A0">
        <w:rPr>
          <w:rFonts w:ascii="Arial" w:hAnsi="Arial"/>
          <w:sz w:val="20"/>
        </w:rPr>
        <w:t>is required to submit the name or initials, address and telephone number and qualification of the initial reporter on the adverse drug reaction report form.  In order to ensure confidentiality</w:t>
      </w:r>
      <w:r w:rsidR="00546119" w:rsidRPr="007831A0">
        <w:rPr>
          <w:rFonts w:ascii="Arial" w:hAnsi="Arial"/>
          <w:sz w:val="20"/>
        </w:rPr>
        <w:t>, the</w:t>
      </w:r>
      <w:r w:rsidRPr="007831A0">
        <w:rPr>
          <w:rFonts w:ascii="Arial" w:hAnsi="Arial"/>
          <w:sz w:val="20"/>
        </w:rPr>
        <w:t xml:space="preserve"> initials of the reporter may be used.</w:t>
      </w:r>
    </w:p>
    <w:p w:rsidR="00A64F63" w:rsidRPr="007831A0" w:rsidRDefault="00017800" w:rsidP="00A64F63">
      <w:pPr>
        <w:pStyle w:val="Heading2"/>
      </w:pPr>
      <w:bookmarkStart w:id="99" w:name="_Toc5282806"/>
      <w:r w:rsidRPr="007831A0">
        <w:rPr>
          <w:rFonts w:ascii="Arial Bold" w:hAnsi="Arial Bold"/>
          <w:b w:val="0"/>
        </w:rPr>
        <w:lastRenderedPageBreak/>
        <w:t>5.4</w:t>
      </w:r>
      <w:r w:rsidR="00A64F63" w:rsidRPr="007831A0">
        <w:rPr>
          <w:rFonts w:ascii="Arial Bold" w:hAnsi="Arial Bold"/>
        </w:rPr>
        <w:tab/>
      </w:r>
      <w:r w:rsidR="00A64F63" w:rsidRPr="007831A0">
        <w:t>Follow-Up Reports</w:t>
      </w:r>
      <w:bookmarkEnd w:id="99"/>
    </w:p>
    <w:p w:rsidR="00E93DE8" w:rsidRPr="007831A0" w:rsidRDefault="00A64F63">
      <w:pPr>
        <w:widowControl/>
        <w:suppressAutoHyphens/>
        <w:spacing w:before="120" w:line="280" w:lineRule="atLeast"/>
        <w:ind w:left="680"/>
        <w:jc w:val="both"/>
      </w:pPr>
      <w:r w:rsidRPr="007831A0">
        <w:rPr>
          <w:rFonts w:ascii="Arial" w:hAnsi="Arial"/>
          <w:sz w:val="20"/>
        </w:rPr>
        <w:t xml:space="preserve">Any follow-up information from the </w:t>
      </w:r>
      <w:r w:rsidR="00AF46CB" w:rsidRPr="007831A0">
        <w:rPr>
          <w:rFonts w:ascii="Arial" w:hAnsi="Arial"/>
          <w:sz w:val="20"/>
        </w:rPr>
        <w:t xml:space="preserve">holder or applicant </w:t>
      </w:r>
      <w:r w:rsidRPr="007831A0">
        <w:rPr>
          <w:rFonts w:ascii="Arial" w:hAnsi="Arial"/>
          <w:sz w:val="20"/>
        </w:rPr>
        <w:t>relating to an initial AD</w:t>
      </w:r>
      <w:r w:rsidR="00EC3085">
        <w:rPr>
          <w:rFonts w:ascii="Arial" w:hAnsi="Arial"/>
          <w:sz w:val="20"/>
        </w:rPr>
        <w:t>R report submitted to the Authority</w:t>
      </w:r>
      <w:r w:rsidRPr="007831A0">
        <w:rPr>
          <w:rFonts w:ascii="Arial" w:hAnsi="Arial"/>
          <w:sz w:val="20"/>
        </w:rPr>
        <w:t xml:space="preserve">, must be cross-referenced to the unique number assigned by </w:t>
      </w:r>
      <w:r w:rsidR="00AF46CB" w:rsidRPr="007831A0">
        <w:rPr>
          <w:rFonts w:ascii="Arial" w:hAnsi="Arial"/>
          <w:sz w:val="20"/>
        </w:rPr>
        <w:t xml:space="preserve">the or applicant.  </w:t>
      </w:r>
      <w:r w:rsidR="00EC3085">
        <w:rPr>
          <w:rFonts w:ascii="Arial" w:hAnsi="Arial"/>
          <w:sz w:val="20"/>
        </w:rPr>
        <w:t xml:space="preserve">A </w:t>
      </w:r>
      <w:r w:rsidRPr="007831A0">
        <w:rPr>
          <w:rFonts w:ascii="Arial" w:hAnsi="Arial"/>
          <w:sz w:val="20"/>
        </w:rPr>
        <w:t xml:space="preserve">CIOMS format “initial” report which follows a previous (first) communication from the </w:t>
      </w:r>
      <w:r w:rsidR="00035A8C" w:rsidRPr="007831A0">
        <w:rPr>
          <w:rFonts w:ascii="Arial" w:hAnsi="Arial" w:cs="Arial"/>
          <w:sz w:val="20"/>
        </w:rPr>
        <w:t>applicant</w:t>
      </w:r>
      <w:r w:rsidRPr="007831A0">
        <w:rPr>
          <w:rFonts w:ascii="Arial" w:hAnsi="Arial"/>
          <w:sz w:val="20"/>
        </w:rPr>
        <w:t xml:space="preserve"> must be clearly marked that it is a follow up and linked through the applicant-assigned reference number.</w:t>
      </w:r>
      <w:r w:rsidR="001318F7">
        <w:rPr>
          <w:rFonts w:ascii="Arial" w:hAnsi="Arial"/>
          <w:sz w:val="20"/>
        </w:rPr>
        <w:t xml:space="preserve"> </w:t>
      </w:r>
      <w:r w:rsidRPr="007831A0">
        <w:rPr>
          <w:rFonts w:ascii="Arial" w:hAnsi="Arial"/>
          <w:b/>
          <w:sz w:val="20"/>
        </w:rPr>
        <w:t xml:space="preserve">This is the only reliable way to minimise the duplication of reports, submitted by </w:t>
      </w:r>
      <w:r w:rsidR="00AF46CB" w:rsidRPr="007831A0">
        <w:rPr>
          <w:rFonts w:ascii="Arial" w:hAnsi="Arial"/>
          <w:b/>
          <w:sz w:val="20"/>
        </w:rPr>
        <w:t>holders or</w:t>
      </w:r>
      <w:r w:rsidR="001318F7">
        <w:rPr>
          <w:rFonts w:ascii="Arial" w:hAnsi="Arial"/>
          <w:b/>
          <w:sz w:val="20"/>
        </w:rPr>
        <w:t xml:space="preserve"> </w:t>
      </w:r>
      <w:r w:rsidR="00AF46CB" w:rsidRPr="007831A0">
        <w:rPr>
          <w:rFonts w:ascii="Arial" w:hAnsi="Arial"/>
          <w:b/>
          <w:sz w:val="20"/>
        </w:rPr>
        <w:t>applicants</w:t>
      </w:r>
      <w:r w:rsidRPr="007831A0">
        <w:rPr>
          <w:rFonts w:ascii="Arial" w:hAnsi="Arial"/>
          <w:b/>
          <w:sz w:val="20"/>
        </w:rPr>
        <w:t xml:space="preserve">, in the </w:t>
      </w:r>
      <w:r w:rsidR="00EC3085">
        <w:rPr>
          <w:rFonts w:ascii="Arial" w:hAnsi="Arial"/>
          <w:b/>
          <w:sz w:val="20"/>
        </w:rPr>
        <w:t>Authority</w:t>
      </w:r>
      <w:r w:rsidRPr="007831A0">
        <w:rPr>
          <w:rFonts w:ascii="Arial" w:hAnsi="Arial"/>
          <w:b/>
          <w:sz w:val="20"/>
        </w:rPr>
        <w:t>’s database</w:t>
      </w:r>
      <w:r w:rsidRPr="007831A0">
        <w:rPr>
          <w:rFonts w:ascii="Arial" w:hAnsi="Arial"/>
          <w:sz w:val="20"/>
        </w:rPr>
        <w:t>.</w:t>
      </w:r>
    </w:p>
    <w:p w:rsidR="00E93DE8" w:rsidRPr="007831A0" w:rsidRDefault="00035A8C" w:rsidP="00035A8C">
      <w:pPr>
        <w:pStyle w:val="Heading2"/>
      </w:pPr>
      <w:bookmarkStart w:id="100" w:name="_Toc5282807"/>
      <w:r w:rsidRPr="007831A0">
        <w:t>5.5</w:t>
      </w:r>
      <w:r w:rsidR="00A64F63" w:rsidRPr="007831A0">
        <w:tab/>
        <w:t>Another Holder of a Certificate of Registration</w:t>
      </w:r>
      <w:r w:rsidRPr="007831A0">
        <w:t xml:space="preserve"> / Applicant</w:t>
      </w:r>
      <w:r w:rsidR="00A64F63" w:rsidRPr="007831A0">
        <w:t xml:space="preserve">’s </w:t>
      </w:r>
      <w:r w:rsidR="006360F7" w:rsidRPr="007831A0">
        <w:t>Medicine</w:t>
      </w:r>
      <w:bookmarkEnd w:id="100"/>
    </w:p>
    <w:p w:rsidR="00A64F63" w:rsidRPr="007831A0" w:rsidRDefault="00A64F63" w:rsidP="0042436A">
      <w:pPr>
        <w:widowControl/>
        <w:suppressAutoHyphens/>
        <w:spacing w:before="120" w:line="280" w:lineRule="atLeast"/>
        <w:ind w:left="680"/>
        <w:jc w:val="both"/>
        <w:rPr>
          <w:rFonts w:ascii="Arial" w:hAnsi="Arial"/>
          <w:sz w:val="20"/>
          <w:u w:val="single"/>
        </w:rPr>
      </w:pPr>
      <w:r w:rsidRPr="007831A0">
        <w:rPr>
          <w:rFonts w:ascii="Arial" w:hAnsi="Arial"/>
          <w:b/>
          <w:sz w:val="20"/>
        </w:rPr>
        <w:t xml:space="preserve">Spontaneous reports: </w:t>
      </w:r>
      <w:r w:rsidRPr="007831A0">
        <w:rPr>
          <w:rFonts w:ascii="Arial" w:hAnsi="Arial"/>
          <w:sz w:val="20"/>
        </w:rPr>
        <w:t>If a</w:t>
      </w:r>
      <w:r w:rsidR="00B54E62" w:rsidRPr="007831A0">
        <w:rPr>
          <w:rFonts w:ascii="Arial" w:hAnsi="Arial"/>
          <w:sz w:val="20"/>
        </w:rPr>
        <w:t xml:space="preserve"> holder or applicant </w:t>
      </w:r>
      <w:r w:rsidRPr="007831A0">
        <w:rPr>
          <w:rFonts w:ascii="Arial" w:hAnsi="Arial"/>
          <w:sz w:val="20"/>
        </w:rPr>
        <w:t xml:space="preserve">receives a report of a suspected adverse reaction to a medicine marketed by another </w:t>
      </w:r>
      <w:r w:rsidR="00B54E62" w:rsidRPr="007831A0">
        <w:rPr>
          <w:rFonts w:ascii="Arial" w:hAnsi="Arial"/>
          <w:sz w:val="20"/>
        </w:rPr>
        <w:t>holder</w:t>
      </w:r>
      <w:r w:rsidR="001318F7">
        <w:rPr>
          <w:rFonts w:ascii="Arial" w:hAnsi="Arial"/>
          <w:sz w:val="20"/>
        </w:rPr>
        <w:t xml:space="preserve"> </w:t>
      </w:r>
      <w:r w:rsidR="00B54E62" w:rsidRPr="007831A0">
        <w:rPr>
          <w:rFonts w:ascii="Arial" w:hAnsi="Arial"/>
          <w:sz w:val="20"/>
        </w:rPr>
        <w:t>or applicant,</w:t>
      </w:r>
      <w:r w:rsidRPr="007831A0">
        <w:rPr>
          <w:rFonts w:ascii="Arial" w:hAnsi="Arial"/>
          <w:sz w:val="20"/>
        </w:rPr>
        <w:t xml:space="preserve"> the report should promptly be forwarded to the </w:t>
      </w:r>
      <w:r w:rsidR="00AF46CB" w:rsidRPr="007831A0">
        <w:rPr>
          <w:rFonts w:ascii="Arial" w:hAnsi="Arial"/>
          <w:sz w:val="20"/>
        </w:rPr>
        <w:t xml:space="preserve">holder or applicant </w:t>
      </w:r>
      <w:r w:rsidRPr="007831A0">
        <w:rPr>
          <w:rFonts w:ascii="Arial" w:hAnsi="Arial"/>
          <w:sz w:val="20"/>
        </w:rPr>
        <w:t xml:space="preserve">of that medicine.  The </w:t>
      </w:r>
      <w:r w:rsidR="002D546B" w:rsidRPr="007831A0">
        <w:rPr>
          <w:rFonts w:ascii="Arial" w:hAnsi="Arial"/>
          <w:sz w:val="20"/>
        </w:rPr>
        <w:t xml:space="preserve">holder or applicant </w:t>
      </w:r>
      <w:r w:rsidRPr="007831A0">
        <w:rPr>
          <w:rFonts w:ascii="Arial" w:hAnsi="Arial"/>
          <w:sz w:val="20"/>
        </w:rPr>
        <w:t xml:space="preserve">to whom the event was originally reported should not forward such reports to </w:t>
      </w:r>
      <w:r w:rsidR="008442D3" w:rsidRPr="00B1755D">
        <w:rPr>
          <w:rFonts w:ascii="Arial" w:hAnsi="Arial"/>
          <w:sz w:val="20"/>
        </w:rPr>
        <w:t xml:space="preserve">the </w:t>
      </w:r>
      <w:r w:rsidR="008442D3" w:rsidRPr="008D38FB">
        <w:rPr>
          <w:rFonts w:ascii="Arial" w:hAnsi="Arial"/>
          <w:sz w:val="20"/>
        </w:rPr>
        <w:t>Authority</w:t>
      </w:r>
      <w:r w:rsidR="001318F7">
        <w:rPr>
          <w:rFonts w:ascii="Arial" w:hAnsi="Arial"/>
          <w:sz w:val="20"/>
        </w:rPr>
        <w:t xml:space="preserve"> </w:t>
      </w:r>
      <w:r w:rsidRPr="007831A0">
        <w:rPr>
          <w:rFonts w:ascii="Arial" w:hAnsi="Arial"/>
          <w:sz w:val="20"/>
        </w:rPr>
        <w:t xml:space="preserve">to avoid duplication of reporting.  </w:t>
      </w:r>
      <w:r w:rsidR="00A402AB" w:rsidRPr="007831A0">
        <w:rPr>
          <w:rFonts w:ascii="Arial" w:hAnsi="Arial"/>
          <w:sz w:val="20"/>
        </w:rPr>
        <w:t xml:space="preserve">A </w:t>
      </w:r>
      <w:r w:rsidR="002D546B" w:rsidRPr="007831A0">
        <w:rPr>
          <w:rFonts w:ascii="Arial" w:hAnsi="Arial"/>
          <w:sz w:val="20"/>
        </w:rPr>
        <w:t xml:space="preserve">holder or applicant </w:t>
      </w:r>
      <w:r w:rsidR="00A402AB" w:rsidRPr="007831A0">
        <w:rPr>
          <w:rFonts w:ascii="Arial" w:hAnsi="Arial"/>
          <w:sz w:val="20"/>
        </w:rPr>
        <w:t xml:space="preserve">who receives such a report about its medicine from another </w:t>
      </w:r>
      <w:r w:rsidR="002D546B" w:rsidRPr="007831A0">
        <w:rPr>
          <w:rFonts w:ascii="Arial" w:hAnsi="Arial"/>
          <w:sz w:val="20"/>
        </w:rPr>
        <w:t xml:space="preserve">holder or applicant </w:t>
      </w:r>
      <w:r w:rsidR="00A402AB" w:rsidRPr="007831A0">
        <w:rPr>
          <w:rFonts w:ascii="Arial" w:hAnsi="Arial"/>
          <w:sz w:val="20"/>
        </w:rPr>
        <w:t xml:space="preserve">is required to submit the report to </w:t>
      </w:r>
      <w:r w:rsidR="008442D3" w:rsidRPr="00B1755D">
        <w:rPr>
          <w:rFonts w:ascii="Arial" w:hAnsi="Arial"/>
          <w:sz w:val="20"/>
        </w:rPr>
        <w:t xml:space="preserve">the </w:t>
      </w:r>
      <w:r w:rsidR="008442D3" w:rsidRPr="008D38FB">
        <w:rPr>
          <w:rFonts w:ascii="Arial" w:hAnsi="Arial"/>
          <w:sz w:val="20"/>
        </w:rPr>
        <w:t>Authority</w:t>
      </w:r>
      <w:r w:rsidR="001318F7">
        <w:rPr>
          <w:rFonts w:ascii="Arial" w:hAnsi="Arial"/>
          <w:sz w:val="20"/>
        </w:rPr>
        <w:t xml:space="preserve"> </w:t>
      </w:r>
      <w:r w:rsidR="00A402AB" w:rsidRPr="007831A0">
        <w:rPr>
          <w:rFonts w:ascii="Arial" w:hAnsi="Arial"/>
          <w:sz w:val="20"/>
        </w:rPr>
        <w:t xml:space="preserve">within the same timeframe applicable to other reports.  </w:t>
      </w:r>
      <w:r w:rsidRPr="007831A0">
        <w:rPr>
          <w:rFonts w:ascii="Arial" w:hAnsi="Arial"/>
          <w:sz w:val="20"/>
        </w:rPr>
        <w:t>Details relating to the patient and the initial reporter are required as for any other report. In order to ensure confidentiality, initials of the patient and/or reporter may be used.</w:t>
      </w:r>
    </w:p>
    <w:p w:rsidR="00A64F63" w:rsidRPr="008D38FB" w:rsidRDefault="00035A8C" w:rsidP="00AB2DA5">
      <w:pPr>
        <w:pStyle w:val="Heading2"/>
        <w:jc w:val="both"/>
      </w:pPr>
      <w:bookmarkStart w:id="101" w:name="_Toc5282808"/>
      <w:r w:rsidRPr="007831A0">
        <w:t>5.6</w:t>
      </w:r>
      <w:r w:rsidR="00A64F63" w:rsidRPr="007831A0">
        <w:tab/>
      </w:r>
      <w:r w:rsidR="00641229" w:rsidRPr="008D38FB">
        <w:t>Summary</w:t>
      </w:r>
      <w:r w:rsidR="0025100F" w:rsidRPr="008D38FB">
        <w:t xml:space="preserve"> Report</w:t>
      </w:r>
      <w:r w:rsidR="000D116A" w:rsidRPr="008D38FB">
        <w:t xml:space="preserve"> </w:t>
      </w:r>
      <w:r w:rsidR="008442D3" w:rsidRPr="008D38FB">
        <w:t>(SR)</w:t>
      </w:r>
      <w:r w:rsidR="001318F7" w:rsidRPr="008D38FB">
        <w:t xml:space="preserve"> </w:t>
      </w:r>
      <w:r w:rsidR="008442D3" w:rsidRPr="008D38FB">
        <w:t>for each registered medicine</w:t>
      </w:r>
      <w:bookmarkEnd w:id="101"/>
    </w:p>
    <w:p w:rsidR="002E3BA4" w:rsidRDefault="0025100F" w:rsidP="00436A8D">
      <w:pPr>
        <w:widowControl/>
        <w:suppressAutoHyphens/>
        <w:spacing w:before="120" w:line="280" w:lineRule="atLeast"/>
        <w:ind w:left="680"/>
        <w:jc w:val="both"/>
        <w:rPr>
          <w:rFonts w:cs="Arial"/>
        </w:rPr>
      </w:pPr>
      <w:r w:rsidRPr="008D38FB">
        <w:rPr>
          <w:rFonts w:ascii="Arial" w:hAnsi="Arial"/>
          <w:sz w:val="20"/>
        </w:rPr>
        <w:t>The</w:t>
      </w:r>
      <w:r w:rsidRPr="008D38FB">
        <w:rPr>
          <w:rFonts w:ascii="Arial" w:hAnsi="Arial" w:cs="Arial"/>
          <w:sz w:val="20"/>
        </w:rPr>
        <w:t xml:space="preserve"> applicant must on an annual basis a</w:t>
      </w:r>
      <w:r w:rsidR="001318F7" w:rsidRPr="008D38FB">
        <w:rPr>
          <w:rFonts w:ascii="Arial" w:hAnsi="Arial" w:cs="Arial"/>
          <w:sz w:val="20"/>
        </w:rPr>
        <w:t xml:space="preserve">nd whenever </w:t>
      </w:r>
      <w:r w:rsidR="001318F7">
        <w:rPr>
          <w:rFonts w:ascii="Arial" w:hAnsi="Arial" w:cs="Arial"/>
          <w:sz w:val="20"/>
        </w:rPr>
        <w:t>requested by the Authority</w:t>
      </w:r>
      <w:r w:rsidRPr="0025100F">
        <w:rPr>
          <w:rFonts w:ascii="Arial" w:hAnsi="Arial" w:cs="Arial"/>
          <w:sz w:val="20"/>
        </w:rPr>
        <w:t xml:space="preserve">, conduct a concise analysis of the non-serious and serious adverse drug reactions (ADRs) to </w:t>
      </w:r>
      <w:r w:rsidR="008442D3" w:rsidRPr="008D38FB">
        <w:rPr>
          <w:rFonts w:ascii="Arial" w:hAnsi="Arial" w:cs="Arial"/>
          <w:sz w:val="20"/>
        </w:rPr>
        <w:t>each</w:t>
      </w:r>
      <w:r w:rsidR="008442D3" w:rsidRPr="00BE38B3">
        <w:rPr>
          <w:rFonts w:ascii="Arial" w:hAnsi="Arial" w:cs="Arial"/>
          <w:color w:val="1F497D" w:themeColor="text2"/>
          <w:sz w:val="20"/>
        </w:rPr>
        <w:t xml:space="preserve"> </w:t>
      </w:r>
      <w:r w:rsidR="008442D3" w:rsidRPr="008D38FB">
        <w:rPr>
          <w:rFonts w:ascii="Arial" w:hAnsi="Arial" w:cs="Arial"/>
          <w:sz w:val="20"/>
        </w:rPr>
        <w:t>registered</w:t>
      </w:r>
      <w:r w:rsidR="008442D3" w:rsidRPr="00BE38B3">
        <w:rPr>
          <w:rFonts w:ascii="Arial" w:hAnsi="Arial" w:cs="Arial"/>
          <w:color w:val="1F497D" w:themeColor="text2"/>
          <w:sz w:val="20"/>
        </w:rPr>
        <w:t xml:space="preserve"> </w:t>
      </w:r>
      <w:r w:rsidR="001318F7" w:rsidRPr="000D116A">
        <w:rPr>
          <w:rFonts w:ascii="Arial" w:hAnsi="Arial" w:cs="Arial"/>
          <w:sz w:val="20"/>
        </w:rPr>
        <w:t>active ingredient</w:t>
      </w:r>
      <w:r w:rsidRPr="0025100F">
        <w:rPr>
          <w:rFonts w:ascii="Arial" w:hAnsi="Arial" w:cs="Arial"/>
          <w:sz w:val="20"/>
        </w:rPr>
        <w:t xml:space="preserve"> and prepare a</w:t>
      </w:r>
      <w:r w:rsidR="00A75ED8">
        <w:rPr>
          <w:rFonts w:ascii="Arial" w:hAnsi="Arial" w:cs="Arial"/>
          <w:sz w:val="20"/>
        </w:rPr>
        <w:t xml:space="preserve"> </w:t>
      </w:r>
      <w:r w:rsidRPr="0025100F">
        <w:rPr>
          <w:rFonts w:ascii="Arial" w:hAnsi="Arial" w:cs="Arial"/>
          <w:sz w:val="20"/>
        </w:rPr>
        <w:t xml:space="preserve">summary report in respect of the reports </w:t>
      </w:r>
      <w:r w:rsidR="00641229">
        <w:rPr>
          <w:rFonts w:ascii="Arial" w:hAnsi="Arial" w:cs="Arial"/>
          <w:sz w:val="20"/>
        </w:rPr>
        <w:t xml:space="preserve">received </w:t>
      </w:r>
      <w:r w:rsidRPr="0025100F">
        <w:rPr>
          <w:rFonts w:ascii="Arial" w:hAnsi="Arial" w:cs="Arial"/>
          <w:sz w:val="20"/>
        </w:rPr>
        <w:t>during the previous twelve months.</w:t>
      </w:r>
      <w:r w:rsidR="001318F7">
        <w:rPr>
          <w:rFonts w:ascii="Arial" w:hAnsi="Arial" w:cs="Arial"/>
          <w:sz w:val="20"/>
        </w:rPr>
        <w:t xml:space="preserve"> </w:t>
      </w:r>
      <w:r w:rsidR="00436A8D">
        <w:rPr>
          <w:rFonts w:ascii="Arial" w:hAnsi="Arial" w:cs="Arial"/>
          <w:sz w:val="20"/>
        </w:rPr>
        <w:t xml:space="preserve"> </w:t>
      </w:r>
      <w:r w:rsidRPr="0025100F">
        <w:rPr>
          <w:rFonts w:ascii="Arial" w:hAnsi="Arial" w:cs="Arial"/>
          <w:sz w:val="20"/>
        </w:rPr>
        <w:t>The</w:t>
      </w:r>
      <w:r w:rsidR="00A75ED8">
        <w:rPr>
          <w:rFonts w:ascii="Arial" w:hAnsi="Arial" w:cs="Arial"/>
          <w:sz w:val="20"/>
        </w:rPr>
        <w:t xml:space="preserve"> </w:t>
      </w:r>
      <w:r w:rsidRPr="0025100F">
        <w:rPr>
          <w:rFonts w:ascii="Arial" w:hAnsi="Arial" w:cs="Arial"/>
          <w:sz w:val="20"/>
        </w:rPr>
        <w:t xml:space="preserve">summary report is to be maintained by the applicant and be easily accessible and when requested, it is to be submitted to </w:t>
      </w:r>
      <w:r w:rsidR="008442D3" w:rsidRPr="000D116A">
        <w:rPr>
          <w:rFonts w:ascii="Arial" w:hAnsi="Arial" w:cs="Arial"/>
          <w:sz w:val="20"/>
        </w:rPr>
        <w:t xml:space="preserve">the </w:t>
      </w:r>
      <w:r w:rsidR="008442D3" w:rsidRPr="008D38FB">
        <w:rPr>
          <w:rFonts w:ascii="Arial" w:hAnsi="Arial" w:cs="Arial"/>
          <w:sz w:val="20"/>
        </w:rPr>
        <w:t>Authority</w:t>
      </w:r>
      <w:r w:rsidRPr="0025100F">
        <w:rPr>
          <w:rFonts w:ascii="Arial" w:hAnsi="Arial" w:cs="Arial"/>
          <w:sz w:val="20"/>
        </w:rPr>
        <w:t xml:space="preserve"> within 30 calendar days. </w:t>
      </w:r>
      <w:r w:rsidR="00436A8D">
        <w:rPr>
          <w:rFonts w:ascii="Arial" w:hAnsi="Arial" w:cs="Arial"/>
          <w:sz w:val="20"/>
        </w:rPr>
        <w:t xml:space="preserve"> </w:t>
      </w:r>
      <w:r w:rsidR="001B3E01" w:rsidRPr="00AC3241">
        <w:rPr>
          <w:rFonts w:ascii="Arial" w:hAnsi="Arial" w:cs="Arial"/>
          <w:sz w:val="20"/>
        </w:rPr>
        <w:t>The selected</w:t>
      </w:r>
      <w:r w:rsidR="00A75ED8">
        <w:rPr>
          <w:rFonts w:ascii="Arial" w:hAnsi="Arial" w:cs="Arial"/>
          <w:sz w:val="20"/>
        </w:rPr>
        <w:t xml:space="preserve"> 12-month period for the </w:t>
      </w:r>
      <w:r w:rsidR="001B3E01" w:rsidRPr="00AC3241">
        <w:rPr>
          <w:rFonts w:ascii="Arial" w:hAnsi="Arial" w:cs="Arial"/>
          <w:sz w:val="20"/>
        </w:rPr>
        <w:t>summary report is specified by the applicant.</w:t>
      </w:r>
      <w:r w:rsidR="00436A8D">
        <w:rPr>
          <w:rFonts w:ascii="Arial" w:hAnsi="Arial" w:cs="Arial"/>
          <w:sz w:val="20"/>
        </w:rPr>
        <w:t xml:space="preserve"> </w:t>
      </w:r>
      <w:r w:rsidR="001B3E01" w:rsidRPr="00AC3241">
        <w:rPr>
          <w:rFonts w:ascii="Arial" w:hAnsi="Arial" w:cs="Arial"/>
          <w:sz w:val="20"/>
        </w:rPr>
        <w:t xml:space="preserve"> </w:t>
      </w:r>
      <w:r w:rsidR="001318F7" w:rsidRPr="000D116A">
        <w:rPr>
          <w:rFonts w:ascii="Arial" w:hAnsi="Arial" w:cs="Arial"/>
          <w:sz w:val="20"/>
        </w:rPr>
        <w:t>T</w:t>
      </w:r>
      <w:r w:rsidR="008442D3" w:rsidRPr="000D116A">
        <w:rPr>
          <w:rFonts w:ascii="Arial" w:hAnsi="Arial" w:cs="Arial"/>
          <w:sz w:val="20"/>
        </w:rPr>
        <w:t xml:space="preserve">he </w:t>
      </w:r>
      <w:r w:rsidR="008442D3" w:rsidRPr="008D38FB">
        <w:rPr>
          <w:rFonts w:ascii="Arial" w:hAnsi="Arial" w:cs="Arial"/>
          <w:sz w:val="20"/>
        </w:rPr>
        <w:t>Authority</w:t>
      </w:r>
      <w:r w:rsidR="00A75ED8">
        <w:rPr>
          <w:rFonts w:ascii="Arial" w:hAnsi="Arial" w:cs="Arial"/>
          <w:sz w:val="20"/>
        </w:rPr>
        <w:t xml:space="preserve"> prefers that the </w:t>
      </w:r>
      <w:r w:rsidRPr="0025100F">
        <w:rPr>
          <w:rFonts w:ascii="Arial" w:hAnsi="Arial" w:cs="Arial"/>
          <w:sz w:val="20"/>
        </w:rPr>
        <w:t>summary report be submitted in the Periodic Safety Update Report (PSUR)</w:t>
      </w:r>
      <w:r w:rsidR="00F61002">
        <w:rPr>
          <w:rFonts w:ascii="Arial" w:hAnsi="Arial" w:cs="Arial"/>
          <w:sz w:val="20"/>
        </w:rPr>
        <w:t>/Periodic Benefit-Risk Evaluation Report (PBRER)</w:t>
      </w:r>
      <w:r w:rsidRPr="0025100F">
        <w:rPr>
          <w:rFonts w:ascii="Arial" w:hAnsi="Arial" w:cs="Arial"/>
          <w:sz w:val="20"/>
        </w:rPr>
        <w:t xml:space="preserve"> format in accordance with the standards defined in the ICH E2C</w:t>
      </w:r>
      <w:r w:rsidR="001318F7">
        <w:rPr>
          <w:rFonts w:ascii="Arial" w:hAnsi="Arial" w:cs="Arial"/>
          <w:sz w:val="20"/>
        </w:rPr>
        <w:t xml:space="preserve"> </w:t>
      </w:r>
      <w:r w:rsidRPr="0025100F">
        <w:rPr>
          <w:rFonts w:ascii="Arial" w:hAnsi="Arial" w:cs="Arial"/>
          <w:sz w:val="20"/>
        </w:rPr>
        <w:t>(R</w:t>
      </w:r>
      <w:r w:rsidR="001B3E01">
        <w:rPr>
          <w:rFonts w:ascii="Arial" w:hAnsi="Arial" w:cs="Arial"/>
          <w:sz w:val="20"/>
        </w:rPr>
        <w:t>2</w:t>
      </w:r>
      <w:r w:rsidRPr="0025100F">
        <w:rPr>
          <w:rFonts w:ascii="Arial" w:hAnsi="Arial" w:cs="Arial"/>
          <w:sz w:val="20"/>
        </w:rPr>
        <w:t>) guideline.</w:t>
      </w:r>
    </w:p>
    <w:p w:rsidR="002E3BA4" w:rsidRDefault="00A75ED8" w:rsidP="00436A8D">
      <w:pPr>
        <w:widowControl/>
        <w:suppressAutoHyphens/>
        <w:spacing w:before="120" w:line="280" w:lineRule="atLeast"/>
        <w:ind w:left="680"/>
        <w:jc w:val="both"/>
        <w:rPr>
          <w:rFonts w:cs="Arial"/>
        </w:rPr>
      </w:pPr>
      <w:r>
        <w:rPr>
          <w:rFonts w:ascii="Arial" w:hAnsi="Arial" w:cs="Arial"/>
          <w:sz w:val="20"/>
        </w:rPr>
        <w:t xml:space="preserve">After preparing the </w:t>
      </w:r>
      <w:r w:rsidR="00AC3241">
        <w:rPr>
          <w:rFonts w:ascii="Arial" w:hAnsi="Arial" w:cs="Arial"/>
          <w:sz w:val="20"/>
        </w:rPr>
        <w:t>summary report, the applicant must determine whether there has been a significant change in what is known about the risks and benefits of the drug.</w:t>
      </w:r>
      <w:r w:rsidR="00436A8D">
        <w:rPr>
          <w:rFonts w:ascii="Arial" w:hAnsi="Arial" w:cs="Arial"/>
          <w:sz w:val="20"/>
        </w:rPr>
        <w:t xml:space="preserve"> </w:t>
      </w:r>
      <w:r w:rsidR="00AC3241">
        <w:rPr>
          <w:rFonts w:ascii="Arial" w:hAnsi="Arial" w:cs="Arial"/>
          <w:sz w:val="20"/>
        </w:rPr>
        <w:t xml:space="preserve"> If the app</w:t>
      </w:r>
      <w:r>
        <w:rPr>
          <w:rFonts w:ascii="Arial" w:hAnsi="Arial" w:cs="Arial"/>
          <w:sz w:val="20"/>
        </w:rPr>
        <w:t>licant concludes from the</w:t>
      </w:r>
      <w:r w:rsidR="00AC3241">
        <w:rPr>
          <w:rFonts w:ascii="Arial" w:hAnsi="Arial" w:cs="Arial"/>
          <w:sz w:val="20"/>
        </w:rPr>
        <w:t xml:space="preserve"> summary report that ther</w:t>
      </w:r>
      <w:r w:rsidR="00C9504D">
        <w:rPr>
          <w:rFonts w:ascii="Arial" w:hAnsi="Arial" w:cs="Arial"/>
          <w:sz w:val="20"/>
        </w:rPr>
        <w:t xml:space="preserve">e has been a significant change, the applicant must inform </w:t>
      </w:r>
      <w:r w:rsidR="008442D3" w:rsidRPr="000D116A">
        <w:rPr>
          <w:rFonts w:ascii="Arial" w:hAnsi="Arial" w:cs="Arial"/>
          <w:sz w:val="20"/>
        </w:rPr>
        <w:t xml:space="preserve">the </w:t>
      </w:r>
      <w:r w:rsidR="008442D3" w:rsidRPr="00641229">
        <w:rPr>
          <w:rFonts w:ascii="Arial" w:hAnsi="Arial" w:cs="Arial"/>
          <w:sz w:val="20"/>
        </w:rPr>
        <w:t>Authority</w:t>
      </w:r>
      <w:r w:rsidR="00C9504D" w:rsidRPr="00BE38B3">
        <w:rPr>
          <w:rFonts w:ascii="Arial" w:hAnsi="Arial" w:cs="Arial"/>
          <w:color w:val="1F497D" w:themeColor="text2"/>
          <w:sz w:val="20"/>
        </w:rPr>
        <w:t xml:space="preserve"> </w:t>
      </w:r>
      <w:r w:rsidR="00C9504D">
        <w:rPr>
          <w:rFonts w:ascii="Arial" w:hAnsi="Arial" w:cs="Arial"/>
          <w:sz w:val="20"/>
        </w:rPr>
        <w:t>in writing without delay</w:t>
      </w:r>
      <w:r w:rsidR="001318F7">
        <w:rPr>
          <w:rFonts w:ascii="Arial" w:hAnsi="Arial" w:cs="Arial"/>
          <w:sz w:val="20"/>
        </w:rPr>
        <w:t xml:space="preserve"> as per the reporting requirements</w:t>
      </w:r>
      <w:r w:rsidR="00C9504D">
        <w:rPr>
          <w:rFonts w:ascii="Arial" w:hAnsi="Arial" w:cs="Arial"/>
          <w:sz w:val="20"/>
        </w:rPr>
        <w:t xml:space="preserve">. </w:t>
      </w:r>
      <w:r w:rsidR="00436A8D">
        <w:rPr>
          <w:rFonts w:ascii="Arial" w:hAnsi="Arial" w:cs="Arial"/>
          <w:sz w:val="20"/>
        </w:rPr>
        <w:t xml:space="preserve"> </w:t>
      </w:r>
      <w:r w:rsidR="00C9504D">
        <w:rPr>
          <w:rFonts w:ascii="Arial" w:hAnsi="Arial" w:cs="Arial"/>
          <w:sz w:val="20"/>
        </w:rPr>
        <w:t xml:space="preserve">Examples may include a significant change in the frequency or severity of a known risk or the identification of a previously unknown risk. </w:t>
      </w:r>
    </w:p>
    <w:p w:rsidR="00B15866" w:rsidRDefault="0025100F" w:rsidP="00B15866">
      <w:pPr>
        <w:widowControl/>
        <w:suppressAutoHyphens/>
        <w:spacing w:before="120" w:line="280" w:lineRule="atLeast"/>
        <w:ind w:left="680"/>
        <w:jc w:val="both"/>
        <w:rPr>
          <w:rFonts w:ascii="Arial" w:hAnsi="Arial"/>
          <w:sz w:val="20"/>
        </w:rPr>
      </w:pPr>
      <w:r w:rsidRPr="00A75ED8">
        <w:rPr>
          <w:rFonts w:ascii="Arial" w:hAnsi="Arial"/>
          <w:b/>
          <w:sz w:val="20"/>
        </w:rPr>
        <w:t>Time frame for submission of SR:</w:t>
      </w:r>
      <w:r w:rsidRPr="00A75ED8">
        <w:rPr>
          <w:rFonts w:ascii="Arial" w:hAnsi="Arial"/>
          <w:sz w:val="20"/>
        </w:rPr>
        <w:t xml:space="preserve"> Each holder or applicant will specify the 12-month period which it will use for the SR. The 12-month period and the data lock-point selected by the holder or applicant should be communicated to the </w:t>
      </w:r>
      <w:r w:rsidR="008442D3" w:rsidRPr="00A75ED8">
        <w:rPr>
          <w:rFonts w:ascii="Arial" w:hAnsi="Arial"/>
          <w:sz w:val="20"/>
        </w:rPr>
        <w:t>Authority</w:t>
      </w:r>
      <w:r w:rsidRPr="00A75ED8">
        <w:rPr>
          <w:rFonts w:ascii="Arial" w:hAnsi="Arial"/>
          <w:sz w:val="20"/>
        </w:rPr>
        <w:t xml:space="preserve">. </w:t>
      </w:r>
      <w:r w:rsidR="00436A8D" w:rsidRPr="00A75ED8">
        <w:rPr>
          <w:rFonts w:ascii="Arial" w:hAnsi="Arial"/>
          <w:sz w:val="20"/>
        </w:rPr>
        <w:t xml:space="preserve"> </w:t>
      </w:r>
      <w:r w:rsidRPr="00A75ED8">
        <w:rPr>
          <w:rFonts w:ascii="Arial" w:hAnsi="Arial"/>
          <w:sz w:val="20"/>
        </w:rPr>
        <w:t xml:space="preserve">The SR should be submitted to the </w:t>
      </w:r>
      <w:r w:rsidR="008442D3" w:rsidRPr="00A75ED8">
        <w:rPr>
          <w:rFonts w:ascii="Arial" w:hAnsi="Arial"/>
          <w:sz w:val="20"/>
        </w:rPr>
        <w:t>Authority</w:t>
      </w:r>
      <w:r w:rsidR="001318F7" w:rsidRPr="00A75ED8">
        <w:rPr>
          <w:rFonts w:ascii="Arial" w:hAnsi="Arial"/>
          <w:sz w:val="20"/>
        </w:rPr>
        <w:t xml:space="preserve"> </w:t>
      </w:r>
      <w:r w:rsidRPr="00A75ED8">
        <w:rPr>
          <w:rFonts w:ascii="Arial" w:hAnsi="Arial"/>
          <w:sz w:val="20"/>
        </w:rPr>
        <w:t>within</w:t>
      </w:r>
      <w:r w:rsidR="001318F7" w:rsidRPr="00A75ED8">
        <w:rPr>
          <w:rFonts w:ascii="Arial" w:hAnsi="Arial"/>
          <w:sz w:val="20"/>
        </w:rPr>
        <w:t xml:space="preserve"> </w:t>
      </w:r>
      <w:r w:rsidR="00641229" w:rsidRPr="00A75ED8">
        <w:rPr>
          <w:rFonts w:ascii="Arial" w:hAnsi="Arial"/>
          <w:sz w:val="20"/>
        </w:rPr>
        <w:t xml:space="preserve">90 </w:t>
      </w:r>
      <w:r w:rsidR="00E87F6D" w:rsidRPr="00A75ED8">
        <w:rPr>
          <w:rFonts w:ascii="Arial" w:hAnsi="Arial"/>
          <w:sz w:val="20"/>
        </w:rPr>
        <w:t>calendar</w:t>
      </w:r>
      <w:r w:rsidR="00CA1E6D" w:rsidRPr="00A75ED8">
        <w:rPr>
          <w:rFonts w:ascii="Arial" w:hAnsi="Arial"/>
          <w:sz w:val="20"/>
        </w:rPr>
        <w:t xml:space="preserve"> </w:t>
      </w:r>
      <w:r w:rsidRPr="00A75ED8">
        <w:rPr>
          <w:rFonts w:ascii="Arial" w:hAnsi="Arial"/>
          <w:sz w:val="20"/>
        </w:rPr>
        <w:t>days after the data lock-point.</w:t>
      </w:r>
    </w:p>
    <w:p w:rsidR="00B15866" w:rsidRDefault="0025100F" w:rsidP="00B15866">
      <w:pPr>
        <w:widowControl/>
        <w:suppressAutoHyphens/>
        <w:spacing w:before="120" w:line="280" w:lineRule="atLeast"/>
        <w:ind w:left="680"/>
        <w:jc w:val="both"/>
        <w:rPr>
          <w:rFonts w:ascii="Arial" w:hAnsi="Arial"/>
          <w:sz w:val="20"/>
        </w:rPr>
      </w:pPr>
      <w:r w:rsidRPr="00A75ED8">
        <w:rPr>
          <w:rFonts w:ascii="Arial" w:hAnsi="Arial"/>
          <w:b/>
          <w:sz w:val="20"/>
        </w:rPr>
        <w:t xml:space="preserve">ADR reports to be included: </w:t>
      </w:r>
      <w:r w:rsidRPr="00A75ED8">
        <w:rPr>
          <w:rFonts w:ascii="Arial" w:hAnsi="Arial"/>
          <w:sz w:val="20"/>
        </w:rPr>
        <w:t xml:space="preserve">All South African spontaneous reports (serious and non-serious) received by the holder or applicant during the specified 12-month period, </w:t>
      </w:r>
      <w:r w:rsidR="0075441B" w:rsidRPr="003E30DB">
        <w:rPr>
          <w:rFonts w:ascii="Arial" w:hAnsi="Arial"/>
          <w:sz w:val="20"/>
        </w:rPr>
        <w:t>all foreign serious unexpected reactions</w:t>
      </w:r>
      <w:r w:rsidR="0075441B">
        <w:rPr>
          <w:rFonts w:ascii="Arial" w:hAnsi="Arial"/>
          <w:sz w:val="20"/>
        </w:rPr>
        <w:t xml:space="preserve">, </w:t>
      </w:r>
      <w:r w:rsidRPr="00A75ED8">
        <w:rPr>
          <w:rFonts w:ascii="Arial" w:hAnsi="Arial"/>
          <w:sz w:val="20"/>
        </w:rPr>
        <w:t>all published reports of suspected ADRs, all lack of efficacy reports, and all reports from post-marketing studies (published and unpublished).</w:t>
      </w:r>
    </w:p>
    <w:p w:rsidR="002C6E30" w:rsidRPr="00A75ED8" w:rsidRDefault="002C6E30" w:rsidP="00B15866">
      <w:pPr>
        <w:widowControl/>
        <w:suppressAutoHyphens/>
        <w:spacing w:before="120" w:line="280" w:lineRule="atLeast"/>
        <w:ind w:left="680"/>
        <w:jc w:val="both"/>
        <w:rPr>
          <w:rFonts w:ascii="Arial" w:hAnsi="Arial"/>
          <w:sz w:val="20"/>
        </w:rPr>
      </w:pPr>
      <w:r w:rsidRPr="00A75ED8">
        <w:rPr>
          <w:rFonts w:ascii="Arial" w:hAnsi="Arial"/>
          <w:sz w:val="20"/>
        </w:rPr>
        <w:t>The inf</w:t>
      </w:r>
      <w:r w:rsidR="00A75ED8">
        <w:rPr>
          <w:rFonts w:ascii="Arial" w:hAnsi="Arial"/>
          <w:sz w:val="20"/>
        </w:rPr>
        <w:t xml:space="preserve">ormation included in the </w:t>
      </w:r>
      <w:r w:rsidRPr="00A75ED8">
        <w:rPr>
          <w:rFonts w:ascii="Arial" w:hAnsi="Arial"/>
          <w:sz w:val="20"/>
        </w:rPr>
        <w:t>summary report will contain the following:</w:t>
      </w:r>
    </w:p>
    <w:p w:rsidR="002E3BA4" w:rsidRPr="00A75ED8" w:rsidRDefault="002C6E30">
      <w:pPr>
        <w:pStyle w:val="ListParagraph"/>
        <w:numPr>
          <w:ilvl w:val="0"/>
          <w:numId w:val="40"/>
        </w:numPr>
        <w:suppressAutoHyphens/>
        <w:spacing w:before="120" w:line="280" w:lineRule="atLeast"/>
        <w:jc w:val="both"/>
        <w:rPr>
          <w:rFonts w:ascii="Arial" w:hAnsi="Arial"/>
          <w:sz w:val="20"/>
        </w:rPr>
      </w:pPr>
      <w:r w:rsidRPr="00A75ED8">
        <w:rPr>
          <w:rFonts w:ascii="Arial" w:hAnsi="Arial"/>
          <w:sz w:val="20"/>
        </w:rPr>
        <w:t>Introduction</w:t>
      </w:r>
    </w:p>
    <w:p w:rsidR="002E3BA4" w:rsidRPr="00A75ED8" w:rsidRDefault="002C6E30">
      <w:pPr>
        <w:pStyle w:val="ListParagraph"/>
        <w:numPr>
          <w:ilvl w:val="0"/>
          <w:numId w:val="40"/>
        </w:numPr>
        <w:suppressAutoHyphens/>
        <w:spacing w:before="120" w:line="280" w:lineRule="atLeast"/>
        <w:jc w:val="both"/>
        <w:rPr>
          <w:rFonts w:ascii="Arial" w:hAnsi="Arial"/>
          <w:sz w:val="20"/>
        </w:rPr>
      </w:pPr>
      <w:r w:rsidRPr="00A75ED8">
        <w:rPr>
          <w:rFonts w:ascii="Arial" w:hAnsi="Arial"/>
          <w:sz w:val="20"/>
        </w:rPr>
        <w:t>Changes to the applicant's product safety information</w:t>
      </w:r>
    </w:p>
    <w:p w:rsidR="002E3BA4" w:rsidRPr="00A75ED8" w:rsidRDefault="002C6E30">
      <w:pPr>
        <w:pStyle w:val="ListParagraph"/>
        <w:numPr>
          <w:ilvl w:val="0"/>
          <w:numId w:val="40"/>
        </w:numPr>
        <w:suppressAutoHyphens/>
        <w:spacing w:before="120" w:line="280" w:lineRule="atLeast"/>
        <w:jc w:val="both"/>
        <w:rPr>
          <w:rFonts w:ascii="Arial" w:hAnsi="Arial"/>
          <w:sz w:val="20"/>
        </w:rPr>
      </w:pPr>
      <w:r w:rsidRPr="00A75ED8">
        <w:rPr>
          <w:rFonts w:ascii="Arial" w:hAnsi="Arial"/>
          <w:sz w:val="20"/>
        </w:rPr>
        <w:t>Significant regulatory actions bearing on safety (domestic and foreign)</w:t>
      </w:r>
    </w:p>
    <w:p w:rsidR="002E3BA4" w:rsidRPr="00A75ED8" w:rsidRDefault="002C6E30">
      <w:pPr>
        <w:pStyle w:val="ListParagraph"/>
        <w:numPr>
          <w:ilvl w:val="0"/>
          <w:numId w:val="40"/>
        </w:numPr>
        <w:suppressAutoHyphens/>
        <w:spacing w:before="120" w:line="280" w:lineRule="atLeast"/>
        <w:jc w:val="both"/>
        <w:rPr>
          <w:rFonts w:ascii="Arial" w:hAnsi="Arial"/>
          <w:sz w:val="20"/>
        </w:rPr>
      </w:pPr>
      <w:r w:rsidRPr="00A75ED8">
        <w:rPr>
          <w:rFonts w:ascii="Arial" w:hAnsi="Arial"/>
          <w:sz w:val="20"/>
        </w:rPr>
        <w:lastRenderedPageBreak/>
        <w:t>Line listing and summary tabulations</w:t>
      </w:r>
    </w:p>
    <w:p w:rsidR="002E3BA4" w:rsidRPr="00A75ED8" w:rsidRDefault="00FC75EA">
      <w:pPr>
        <w:pStyle w:val="ListParagraph"/>
        <w:numPr>
          <w:ilvl w:val="0"/>
          <w:numId w:val="40"/>
        </w:numPr>
        <w:suppressAutoHyphens/>
        <w:spacing w:before="120" w:line="280" w:lineRule="atLeast"/>
        <w:jc w:val="both"/>
        <w:rPr>
          <w:rFonts w:ascii="Arial" w:hAnsi="Arial"/>
          <w:sz w:val="20"/>
        </w:rPr>
      </w:pPr>
      <w:r w:rsidRPr="00A75ED8">
        <w:rPr>
          <w:rFonts w:ascii="Arial" w:hAnsi="Arial"/>
          <w:sz w:val="20"/>
        </w:rPr>
        <w:t>Critical analysis:</w:t>
      </w:r>
    </w:p>
    <w:p w:rsidR="002E3BA4" w:rsidRPr="00A75ED8" w:rsidRDefault="00FC75EA">
      <w:pPr>
        <w:pStyle w:val="ListParagraph"/>
        <w:numPr>
          <w:ilvl w:val="1"/>
          <w:numId w:val="40"/>
        </w:numPr>
        <w:suppressAutoHyphens/>
        <w:spacing w:before="120" w:line="280" w:lineRule="atLeast"/>
        <w:jc w:val="both"/>
        <w:rPr>
          <w:rFonts w:ascii="Arial" w:hAnsi="Arial"/>
          <w:sz w:val="20"/>
        </w:rPr>
      </w:pPr>
      <w:r w:rsidRPr="00A75ED8">
        <w:rPr>
          <w:rFonts w:ascii="Arial" w:hAnsi="Arial"/>
          <w:sz w:val="20"/>
        </w:rPr>
        <w:t>A change in characteristics of expected reactions e.g. severity, outcme, target population</w:t>
      </w:r>
    </w:p>
    <w:p w:rsidR="002E3BA4" w:rsidRPr="00A75ED8" w:rsidRDefault="00FC75EA">
      <w:pPr>
        <w:pStyle w:val="ListParagraph"/>
        <w:numPr>
          <w:ilvl w:val="1"/>
          <w:numId w:val="40"/>
        </w:numPr>
        <w:suppressAutoHyphens/>
        <w:spacing w:before="120" w:line="280" w:lineRule="atLeast"/>
        <w:jc w:val="both"/>
        <w:rPr>
          <w:rFonts w:ascii="Arial" w:hAnsi="Arial"/>
          <w:sz w:val="20"/>
        </w:rPr>
      </w:pPr>
      <w:r w:rsidRPr="00A75ED8">
        <w:rPr>
          <w:rFonts w:ascii="Arial" w:hAnsi="Arial"/>
          <w:sz w:val="20"/>
        </w:rPr>
        <w:t>Serious unexpected reactions, placing into perspective the cumulative reports since marketing</w:t>
      </w:r>
    </w:p>
    <w:p w:rsidR="002E3BA4" w:rsidRPr="00A75ED8" w:rsidRDefault="00FC75EA">
      <w:pPr>
        <w:pStyle w:val="ListParagraph"/>
        <w:numPr>
          <w:ilvl w:val="1"/>
          <w:numId w:val="40"/>
        </w:numPr>
        <w:suppressAutoHyphens/>
        <w:spacing w:before="120" w:line="280" w:lineRule="atLeast"/>
        <w:jc w:val="both"/>
        <w:rPr>
          <w:rFonts w:ascii="Arial" w:hAnsi="Arial"/>
          <w:sz w:val="20"/>
        </w:rPr>
      </w:pPr>
      <w:r w:rsidRPr="00A75ED8">
        <w:rPr>
          <w:rFonts w:ascii="Arial" w:hAnsi="Arial"/>
          <w:sz w:val="20"/>
        </w:rPr>
        <w:t>Non-serious unexpected reactions</w:t>
      </w:r>
    </w:p>
    <w:p w:rsidR="002E3BA4" w:rsidRPr="00A75ED8" w:rsidRDefault="00004EC5">
      <w:pPr>
        <w:pStyle w:val="ListParagraph"/>
        <w:numPr>
          <w:ilvl w:val="1"/>
          <w:numId w:val="40"/>
        </w:numPr>
        <w:suppressAutoHyphens/>
        <w:spacing w:before="120" w:line="280" w:lineRule="atLeast"/>
        <w:jc w:val="both"/>
        <w:rPr>
          <w:rFonts w:ascii="Arial" w:hAnsi="Arial"/>
          <w:sz w:val="20"/>
        </w:rPr>
      </w:pPr>
      <w:r w:rsidRPr="00A75ED8">
        <w:rPr>
          <w:rFonts w:ascii="Arial" w:hAnsi="Arial"/>
          <w:sz w:val="20"/>
        </w:rPr>
        <w:t>An increased reporting freque</w:t>
      </w:r>
      <w:r w:rsidR="00FC75EA" w:rsidRPr="00A75ED8">
        <w:rPr>
          <w:rFonts w:ascii="Arial" w:hAnsi="Arial"/>
          <w:sz w:val="20"/>
        </w:rPr>
        <w:t>ncy of expected reactions, including comments on whether it is be</w:t>
      </w:r>
      <w:r w:rsidR="00641229" w:rsidRPr="00A75ED8">
        <w:rPr>
          <w:rFonts w:ascii="Arial" w:hAnsi="Arial"/>
          <w:sz w:val="20"/>
        </w:rPr>
        <w:t>l</w:t>
      </w:r>
      <w:r w:rsidR="00FC75EA" w:rsidRPr="00A75ED8">
        <w:rPr>
          <w:rFonts w:ascii="Arial" w:hAnsi="Arial"/>
          <w:sz w:val="20"/>
        </w:rPr>
        <w:t>ieved the data reflect a meaningful change in AR occurrence</w:t>
      </w:r>
    </w:p>
    <w:p w:rsidR="002E3BA4" w:rsidRPr="00A75ED8" w:rsidRDefault="00FC75EA">
      <w:pPr>
        <w:pStyle w:val="ListParagraph"/>
        <w:numPr>
          <w:ilvl w:val="1"/>
          <w:numId w:val="40"/>
        </w:numPr>
        <w:suppressAutoHyphens/>
        <w:spacing w:before="120" w:line="280" w:lineRule="atLeast"/>
        <w:jc w:val="both"/>
        <w:rPr>
          <w:rFonts w:ascii="Arial" w:hAnsi="Arial"/>
          <w:sz w:val="20"/>
        </w:rPr>
      </w:pPr>
      <w:r w:rsidRPr="00A75ED8">
        <w:rPr>
          <w:rFonts w:ascii="Arial" w:hAnsi="Arial"/>
          <w:sz w:val="20"/>
        </w:rPr>
        <w:t>Comparative analysis of reporting rates using patient exposure estimate (analyes may be done in the context of amount of sales of the drug or by estimating the number of patient days of exposure)</w:t>
      </w:r>
    </w:p>
    <w:p w:rsidR="002E3BA4" w:rsidRPr="00A75ED8" w:rsidRDefault="00FC75EA">
      <w:pPr>
        <w:pStyle w:val="ListParagraph"/>
        <w:numPr>
          <w:ilvl w:val="1"/>
          <w:numId w:val="40"/>
        </w:numPr>
        <w:suppressAutoHyphens/>
        <w:spacing w:before="120" w:line="280" w:lineRule="atLeast"/>
        <w:jc w:val="both"/>
        <w:rPr>
          <w:rFonts w:ascii="Arial" w:hAnsi="Arial"/>
          <w:sz w:val="20"/>
        </w:rPr>
      </w:pPr>
      <w:r w:rsidRPr="00A75ED8">
        <w:rPr>
          <w:rFonts w:ascii="Arial" w:hAnsi="Arial"/>
          <w:sz w:val="20"/>
        </w:rPr>
        <w:t xml:space="preserve">The report should also explicitly address any new safety issue on the following (lack of significant new information should be mentioned for each): </w:t>
      </w:r>
    </w:p>
    <w:p w:rsidR="002E3BA4" w:rsidRPr="00A75ED8" w:rsidRDefault="00FC75EA">
      <w:pPr>
        <w:pStyle w:val="ListParagraph"/>
        <w:numPr>
          <w:ilvl w:val="2"/>
          <w:numId w:val="40"/>
        </w:numPr>
        <w:suppressAutoHyphens/>
        <w:spacing w:before="120" w:line="280" w:lineRule="atLeast"/>
        <w:jc w:val="both"/>
        <w:rPr>
          <w:rFonts w:ascii="Arial" w:hAnsi="Arial"/>
          <w:sz w:val="20"/>
        </w:rPr>
      </w:pPr>
      <w:r w:rsidRPr="00A75ED8">
        <w:rPr>
          <w:rFonts w:ascii="Arial" w:hAnsi="Arial"/>
          <w:sz w:val="20"/>
        </w:rPr>
        <w:t>drug interactions</w:t>
      </w:r>
    </w:p>
    <w:p w:rsidR="002E3BA4" w:rsidRPr="00A75ED8" w:rsidRDefault="00FC75EA">
      <w:pPr>
        <w:pStyle w:val="ListParagraph"/>
        <w:numPr>
          <w:ilvl w:val="2"/>
          <w:numId w:val="40"/>
        </w:numPr>
        <w:suppressAutoHyphens/>
        <w:spacing w:before="120" w:line="280" w:lineRule="atLeast"/>
        <w:jc w:val="both"/>
        <w:rPr>
          <w:rFonts w:ascii="Arial" w:hAnsi="Arial"/>
          <w:sz w:val="20"/>
        </w:rPr>
      </w:pPr>
      <w:r w:rsidRPr="00A75ED8">
        <w:rPr>
          <w:rFonts w:ascii="Arial" w:hAnsi="Arial"/>
          <w:sz w:val="20"/>
        </w:rPr>
        <w:t xml:space="preserve">experience with overdose, deliberate or accidental, and its treatment </w:t>
      </w:r>
    </w:p>
    <w:p w:rsidR="002E3BA4" w:rsidRPr="00A75ED8" w:rsidRDefault="00FC75EA">
      <w:pPr>
        <w:pStyle w:val="ListParagraph"/>
        <w:numPr>
          <w:ilvl w:val="2"/>
          <w:numId w:val="40"/>
        </w:numPr>
        <w:suppressAutoHyphens/>
        <w:spacing w:before="120" w:line="280" w:lineRule="atLeast"/>
        <w:jc w:val="both"/>
        <w:rPr>
          <w:rFonts w:ascii="Arial" w:hAnsi="Arial"/>
          <w:sz w:val="20"/>
        </w:rPr>
      </w:pPr>
      <w:r w:rsidRPr="00A75ED8">
        <w:rPr>
          <w:rFonts w:ascii="Arial" w:hAnsi="Arial"/>
          <w:sz w:val="20"/>
        </w:rPr>
        <w:t>drug abuse or misuse</w:t>
      </w:r>
    </w:p>
    <w:p w:rsidR="002E3BA4" w:rsidRPr="00A75ED8" w:rsidRDefault="00FC75EA">
      <w:pPr>
        <w:pStyle w:val="ListParagraph"/>
        <w:numPr>
          <w:ilvl w:val="2"/>
          <w:numId w:val="40"/>
        </w:numPr>
        <w:suppressAutoHyphens/>
        <w:spacing w:before="120" w:line="280" w:lineRule="atLeast"/>
        <w:jc w:val="both"/>
        <w:rPr>
          <w:rFonts w:ascii="Arial" w:hAnsi="Arial"/>
          <w:sz w:val="20"/>
        </w:rPr>
      </w:pPr>
      <w:r w:rsidRPr="00A75ED8">
        <w:rPr>
          <w:rFonts w:ascii="Arial" w:hAnsi="Arial"/>
          <w:sz w:val="20"/>
        </w:rPr>
        <w:t>positive or negative experiences during pregnancy or lactation</w:t>
      </w:r>
    </w:p>
    <w:p w:rsidR="002E3BA4" w:rsidRPr="00A75ED8" w:rsidRDefault="00FC75EA">
      <w:pPr>
        <w:pStyle w:val="ListParagraph"/>
        <w:numPr>
          <w:ilvl w:val="2"/>
          <w:numId w:val="40"/>
        </w:numPr>
        <w:suppressAutoHyphens/>
        <w:spacing w:before="120" w:line="280" w:lineRule="atLeast"/>
        <w:jc w:val="both"/>
        <w:rPr>
          <w:rFonts w:ascii="Arial" w:hAnsi="Arial"/>
          <w:sz w:val="20"/>
        </w:rPr>
      </w:pPr>
      <w:r w:rsidRPr="00A75ED8">
        <w:rPr>
          <w:rFonts w:ascii="Arial" w:hAnsi="Arial"/>
          <w:sz w:val="20"/>
        </w:rPr>
        <w:t>experince in special patient groups (e.g. children, elderly, organ impaired)</w:t>
      </w:r>
    </w:p>
    <w:p w:rsidR="002E3BA4" w:rsidRDefault="00FC75EA">
      <w:pPr>
        <w:pStyle w:val="ListParagraph"/>
        <w:numPr>
          <w:ilvl w:val="2"/>
          <w:numId w:val="40"/>
        </w:numPr>
        <w:suppressAutoHyphens/>
        <w:spacing w:before="120" w:line="280" w:lineRule="atLeast"/>
        <w:jc w:val="both"/>
        <w:rPr>
          <w:rFonts w:ascii="Arial" w:hAnsi="Arial"/>
          <w:sz w:val="20"/>
        </w:rPr>
      </w:pPr>
      <w:r w:rsidRPr="00A75ED8">
        <w:rPr>
          <w:rFonts w:ascii="Arial" w:hAnsi="Arial"/>
          <w:sz w:val="20"/>
        </w:rPr>
        <w:t>effects of long-term treatment</w:t>
      </w:r>
    </w:p>
    <w:p w:rsidR="0075441B" w:rsidRDefault="0075441B" w:rsidP="0075441B">
      <w:pPr>
        <w:pStyle w:val="ListParagraph"/>
        <w:numPr>
          <w:ilvl w:val="0"/>
          <w:numId w:val="40"/>
        </w:numPr>
        <w:suppressAutoHyphens/>
        <w:spacing w:before="120" w:line="280" w:lineRule="atLeast"/>
        <w:jc w:val="both"/>
        <w:rPr>
          <w:rFonts w:ascii="Arial" w:hAnsi="Arial"/>
          <w:sz w:val="20"/>
        </w:rPr>
      </w:pPr>
      <w:r>
        <w:rPr>
          <w:rFonts w:ascii="Arial" w:hAnsi="Arial"/>
          <w:sz w:val="20"/>
        </w:rPr>
        <w:t>Other information e.g. information relating o effectiveness of the medicine</w:t>
      </w:r>
    </w:p>
    <w:p w:rsidR="0075441B" w:rsidRPr="00A75ED8" w:rsidRDefault="0075441B" w:rsidP="0075441B">
      <w:pPr>
        <w:pStyle w:val="ListParagraph"/>
        <w:numPr>
          <w:ilvl w:val="0"/>
          <w:numId w:val="40"/>
        </w:numPr>
        <w:suppressAutoHyphens/>
        <w:spacing w:before="120" w:line="280" w:lineRule="atLeast"/>
        <w:jc w:val="both"/>
        <w:rPr>
          <w:rFonts w:ascii="Arial" w:hAnsi="Arial"/>
          <w:sz w:val="20"/>
        </w:rPr>
      </w:pPr>
      <w:r>
        <w:rPr>
          <w:rFonts w:ascii="Arial" w:hAnsi="Arial"/>
          <w:sz w:val="20"/>
        </w:rPr>
        <w:t xml:space="preserve">Conclusion </w:t>
      </w:r>
    </w:p>
    <w:p w:rsidR="002E3BA4" w:rsidRPr="00A75ED8" w:rsidRDefault="002E3BA4">
      <w:pPr>
        <w:pStyle w:val="ListParagraph"/>
        <w:suppressAutoHyphens/>
        <w:spacing w:before="120" w:line="280" w:lineRule="atLeast"/>
        <w:ind w:left="2954"/>
        <w:jc w:val="both"/>
        <w:rPr>
          <w:rFonts w:ascii="Arial" w:hAnsi="Arial"/>
          <w:sz w:val="20"/>
        </w:rPr>
      </w:pPr>
    </w:p>
    <w:p w:rsidR="002E3BA4" w:rsidRPr="003E30DB" w:rsidRDefault="0025100F">
      <w:pPr>
        <w:pStyle w:val="ListParagraph"/>
        <w:suppressAutoHyphens/>
        <w:spacing w:before="120" w:line="280" w:lineRule="atLeast"/>
        <w:ind w:left="810"/>
        <w:jc w:val="both"/>
        <w:rPr>
          <w:rFonts w:ascii="Arial" w:hAnsi="Arial"/>
          <w:sz w:val="20"/>
        </w:rPr>
      </w:pPr>
      <w:r w:rsidRPr="003E30DB">
        <w:rPr>
          <w:rFonts w:ascii="Arial" w:hAnsi="Arial"/>
          <w:sz w:val="20"/>
        </w:rPr>
        <w:t xml:space="preserve">In addition, the multinational </w:t>
      </w:r>
      <w:r w:rsidR="003E30DB" w:rsidRPr="003E30DB">
        <w:rPr>
          <w:rFonts w:ascii="Arial" w:hAnsi="Arial"/>
          <w:sz w:val="20"/>
        </w:rPr>
        <w:t>Applicants</w:t>
      </w:r>
      <w:r w:rsidRPr="003E30DB">
        <w:rPr>
          <w:rFonts w:ascii="Arial" w:hAnsi="Arial"/>
          <w:sz w:val="20"/>
        </w:rPr>
        <w:t xml:space="preserve"> should prepare &amp; submit a national appendix relevant to South Africa. This national</w:t>
      </w:r>
      <w:r w:rsidR="009E306C" w:rsidRPr="003E30DB">
        <w:rPr>
          <w:rFonts w:ascii="Arial" w:hAnsi="Arial"/>
          <w:sz w:val="20"/>
        </w:rPr>
        <w:t xml:space="preserve"> </w:t>
      </w:r>
      <w:r w:rsidRPr="003E30DB">
        <w:rPr>
          <w:rFonts w:ascii="Arial" w:hAnsi="Arial"/>
          <w:sz w:val="20"/>
        </w:rPr>
        <w:t>appendix should include the following:</w:t>
      </w:r>
    </w:p>
    <w:p w:rsidR="00350899" w:rsidRPr="003E30DB" w:rsidRDefault="00350899" w:rsidP="00350899">
      <w:pPr>
        <w:pStyle w:val="ListParagraph"/>
        <w:numPr>
          <w:ilvl w:val="0"/>
          <w:numId w:val="40"/>
        </w:numPr>
        <w:suppressAutoHyphens/>
        <w:spacing w:before="120" w:line="280" w:lineRule="atLeast"/>
        <w:jc w:val="both"/>
        <w:rPr>
          <w:rFonts w:ascii="Arial" w:hAnsi="Arial"/>
          <w:sz w:val="20"/>
        </w:rPr>
      </w:pPr>
      <w:r w:rsidRPr="003E30DB">
        <w:rPr>
          <w:rFonts w:ascii="Arial" w:hAnsi="Arial"/>
          <w:sz w:val="20"/>
        </w:rPr>
        <w:t>curren</w:t>
      </w:r>
      <w:r w:rsidR="009D40C7" w:rsidRPr="003E30DB">
        <w:rPr>
          <w:rFonts w:ascii="Arial" w:hAnsi="Arial"/>
          <w:sz w:val="20"/>
        </w:rPr>
        <w:t xml:space="preserve">t national product information </w:t>
      </w:r>
    </w:p>
    <w:p w:rsidR="002E3BA4" w:rsidRPr="003E30DB" w:rsidRDefault="00B252E2">
      <w:pPr>
        <w:pStyle w:val="ListParagraph"/>
        <w:numPr>
          <w:ilvl w:val="0"/>
          <w:numId w:val="40"/>
        </w:numPr>
        <w:suppressAutoHyphens/>
        <w:spacing w:before="120" w:line="280" w:lineRule="atLeast"/>
        <w:jc w:val="both"/>
        <w:rPr>
          <w:rFonts w:ascii="Arial" w:hAnsi="Arial"/>
          <w:sz w:val="20"/>
        </w:rPr>
      </w:pPr>
      <w:r w:rsidRPr="003E30DB">
        <w:rPr>
          <w:rFonts w:ascii="Arial" w:hAnsi="Arial"/>
          <w:sz w:val="20"/>
        </w:rPr>
        <w:t>current approved professional information</w:t>
      </w:r>
      <w:r w:rsidR="0025100F" w:rsidRPr="003E30DB">
        <w:rPr>
          <w:rFonts w:ascii="Arial" w:hAnsi="Arial"/>
          <w:sz w:val="20"/>
        </w:rPr>
        <w:t>”</w:t>
      </w:r>
    </w:p>
    <w:p w:rsidR="002E3BA4" w:rsidRPr="003E30DB" w:rsidRDefault="00D6102B">
      <w:pPr>
        <w:pStyle w:val="ListParagraph"/>
        <w:numPr>
          <w:ilvl w:val="0"/>
          <w:numId w:val="40"/>
        </w:numPr>
        <w:suppressAutoHyphens/>
        <w:spacing w:before="120" w:line="280" w:lineRule="atLeast"/>
        <w:jc w:val="both"/>
        <w:rPr>
          <w:rFonts w:ascii="Arial" w:hAnsi="Arial"/>
          <w:sz w:val="20"/>
        </w:rPr>
      </w:pPr>
      <w:r w:rsidRPr="003E30DB">
        <w:rPr>
          <w:rFonts w:ascii="Arial" w:hAnsi="Arial"/>
          <w:sz w:val="20"/>
        </w:rPr>
        <w:t>“Proposed professional</w:t>
      </w:r>
      <w:r w:rsidR="009E306C" w:rsidRPr="003E30DB">
        <w:rPr>
          <w:rFonts w:ascii="Arial" w:hAnsi="Arial"/>
          <w:sz w:val="20"/>
        </w:rPr>
        <w:t xml:space="preserve"> </w:t>
      </w:r>
      <w:r w:rsidR="0025100F" w:rsidRPr="003E30DB">
        <w:rPr>
          <w:rFonts w:ascii="Arial" w:hAnsi="Arial"/>
          <w:sz w:val="20"/>
        </w:rPr>
        <w:t>information”</w:t>
      </w:r>
    </w:p>
    <w:p w:rsidR="002E3BA4" w:rsidRPr="003E30DB" w:rsidRDefault="0025100F">
      <w:pPr>
        <w:pStyle w:val="ListParagraph"/>
        <w:numPr>
          <w:ilvl w:val="0"/>
          <w:numId w:val="40"/>
        </w:numPr>
        <w:suppressAutoHyphens/>
        <w:spacing w:before="120" w:line="280" w:lineRule="atLeast"/>
        <w:jc w:val="both"/>
        <w:rPr>
          <w:rFonts w:ascii="Arial" w:hAnsi="Arial"/>
          <w:sz w:val="20"/>
        </w:rPr>
      </w:pPr>
      <w:r w:rsidRPr="003E30DB">
        <w:rPr>
          <w:rFonts w:ascii="Arial" w:hAnsi="Arial"/>
          <w:sz w:val="20"/>
        </w:rPr>
        <w:t>“P</w:t>
      </w:r>
      <w:r w:rsidR="00D6102B" w:rsidRPr="003E30DB">
        <w:rPr>
          <w:rFonts w:ascii="Arial" w:hAnsi="Arial"/>
          <w:sz w:val="20"/>
        </w:rPr>
        <w:t>roposed</w:t>
      </w:r>
      <w:r w:rsidR="009E306C" w:rsidRPr="003E30DB">
        <w:rPr>
          <w:rFonts w:ascii="Arial" w:hAnsi="Arial"/>
          <w:sz w:val="20"/>
        </w:rPr>
        <w:t xml:space="preserve"> </w:t>
      </w:r>
      <w:r w:rsidR="008845F4" w:rsidRPr="003E30DB">
        <w:rPr>
          <w:rFonts w:ascii="Arial" w:hAnsi="Arial"/>
          <w:sz w:val="20"/>
        </w:rPr>
        <w:t xml:space="preserve">additional </w:t>
      </w:r>
      <w:r w:rsidRPr="003E30DB">
        <w:rPr>
          <w:rFonts w:ascii="Arial" w:hAnsi="Arial"/>
          <w:sz w:val="20"/>
        </w:rPr>
        <w:t>pharmacovigilance and risk minimisation activities”</w:t>
      </w:r>
    </w:p>
    <w:p w:rsidR="002E3BA4" w:rsidRPr="003E30DB" w:rsidRDefault="0025100F">
      <w:pPr>
        <w:pStyle w:val="ListParagraph"/>
        <w:numPr>
          <w:ilvl w:val="0"/>
          <w:numId w:val="40"/>
        </w:numPr>
        <w:suppressAutoHyphens/>
        <w:spacing w:before="120" w:line="280" w:lineRule="atLeast"/>
        <w:jc w:val="both"/>
        <w:rPr>
          <w:rFonts w:ascii="Arial" w:hAnsi="Arial"/>
          <w:sz w:val="20"/>
        </w:rPr>
      </w:pPr>
      <w:r w:rsidRPr="003E30DB">
        <w:rPr>
          <w:rFonts w:ascii="Arial" w:hAnsi="Arial"/>
          <w:sz w:val="20"/>
        </w:rPr>
        <w:t>“Summary of ongoing safety</w:t>
      </w:r>
      <w:r w:rsidR="009E306C" w:rsidRPr="003E30DB">
        <w:rPr>
          <w:rFonts w:ascii="Arial" w:hAnsi="Arial"/>
          <w:sz w:val="20"/>
        </w:rPr>
        <w:t xml:space="preserve"> </w:t>
      </w:r>
      <w:r w:rsidRPr="003E30DB">
        <w:rPr>
          <w:rFonts w:ascii="Arial" w:hAnsi="Arial"/>
          <w:sz w:val="20"/>
        </w:rPr>
        <w:t>concerns”</w:t>
      </w:r>
    </w:p>
    <w:p w:rsidR="008845F4" w:rsidRPr="003E30DB" w:rsidRDefault="008845F4">
      <w:pPr>
        <w:pStyle w:val="ListParagraph"/>
        <w:numPr>
          <w:ilvl w:val="0"/>
          <w:numId w:val="40"/>
        </w:numPr>
        <w:suppressAutoHyphens/>
        <w:spacing w:before="120" w:line="280" w:lineRule="atLeast"/>
        <w:jc w:val="both"/>
        <w:rPr>
          <w:rFonts w:ascii="Arial" w:hAnsi="Arial"/>
          <w:sz w:val="20"/>
        </w:rPr>
      </w:pPr>
      <w:r w:rsidRPr="003E30DB">
        <w:rPr>
          <w:rFonts w:ascii="Arial" w:hAnsi="Arial"/>
          <w:sz w:val="20"/>
        </w:rPr>
        <w:t>Patient exposure in SA</w:t>
      </w:r>
    </w:p>
    <w:p w:rsidR="008845F4" w:rsidRPr="003E30DB" w:rsidRDefault="008845F4">
      <w:pPr>
        <w:pStyle w:val="ListParagraph"/>
        <w:numPr>
          <w:ilvl w:val="0"/>
          <w:numId w:val="40"/>
        </w:numPr>
        <w:suppressAutoHyphens/>
        <w:spacing w:before="120" w:line="280" w:lineRule="atLeast"/>
        <w:jc w:val="both"/>
        <w:rPr>
          <w:rFonts w:ascii="Arial" w:hAnsi="Arial"/>
          <w:sz w:val="20"/>
        </w:rPr>
      </w:pPr>
      <w:r w:rsidRPr="003E30DB">
        <w:rPr>
          <w:rFonts w:ascii="Arial" w:hAnsi="Arial"/>
          <w:sz w:val="20"/>
        </w:rPr>
        <w:t>ADRs reported in SA</w:t>
      </w:r>
    </w:p>
    <w:p w:rsidR="00A64F63" w:rsidRPr="007831A0" w:rsidRDefault="00017800" w:rsidP="00A64F63">
      <w:pPr>
        <w:pStyle w:val="Heading2"/>
      </w:pPr>
      <w:bookmarkStart w:id="102" w:name="_Toc5282809"/>
      <w:r w:rsidRPr="007831A0">
        <w:t>5.</w:t>
      </w:r>
      <w:r w:rsidR="00020CDA" w:rsidRPr="007831A0">
        <w:t>7</w:t>
      </w:r>
      <w:r w:rsidR="00A64F63" w:rsidRPr="007831A0">
        <w:tab/>
        <w:t>Confidentiality</w:t>
      </w:r>
      <w:bookmarkEnd w:id="102"/>
    </w:p>
    <w:p w:rsidR="00A64F63" w:rsidRDefault="00A64F63" w:rsidP="00A64F63">
      <w:pPr>
        <w:widowControl/>
        <w:suppressAutoHyphens/>
        <w:spacing w:before="120" w:line="280" w:lineRule="atLeast"/>
        <w:ind w:left="680"/>
        <w:jc w:val="both"/>
        <w:rPr>
          <w:rFonts w:ascii="Arial" w:hAnsi="Arial"/>
          <w:sz w:val="20"/>
        </w:rPr>
      </w:pPr>
      <w:r>
        <w:rPr>
          <w:rFonts w:ascii="Arial" w:hAnsi="Arial"/>
          <w:sz w:val="20"/>
        </w:rPr>
        <w:t xml:space="preserve">Strict confidentiality will be maintained by the </w:t>
      </w:r>
      <w:r w:rsidR="000D116A" w:rsidRPr="00064C8F">
        <w:rPr>
          <w:rFonts w:ascii="Arial" w:hAnsi="Arial"/>
          <w:sz w:val="20"/>
        </w:rPr>
        <w:t>Authority</w:t>
      </w:r>
      <w:r w:rsidR="000D116A">
        <w:rPr>
          <w:rFonts w:ascii="Arial" w:hAnsi="Arial"/>
          <w:sz w:val="20"/>
        </w:rPr>
        <w:t xml:space="preserve"> regarding</w:t>
      </w:r>
      <w:r>
        <w:rPr>
          <w:rFonts w:ascii="Arial" w:hAnsi="Arial"/>
          <w:sz w:val="20"/>
        </w:rPr>
        <w:t xml:space="preserve"> the identities of the patient and the reporter.</w:t>
      </w:r>
    </w:p>
    <w:p w:rsidR="00315585" w:rsidRDefault="00315585" w:rsidP="00A64F63">
      <w:pPr>
        <w:widowControl/>
        <w:suppressAutoHyphens/>
        <w:spacing w:before="120" w:line="280" w:lineRule="atLeast"/>
        <w:ind w:left="680"/>
        <w:jc w:val="both"/>
        <w:rPr>
          <w:rFonts w:ascii="Arial" w:hAnsi="Arial"/>
          <w:sz w:val="20"/>
        </w:rPr>
      </w:pPr>
    </w:p>
    <w:p w:rsidR="00315585" w:rsidRDefault="00315585" w:rsidP="00A64F63">
      <w:pPr>
        <w:widowControl/>
        <w:suppressAutoHyphens/>
        <w:spacing w:before="120" w:line="280" w:lineRule="atLeast"/>
        <w:ind w:left="680"/>
        <w:jc w:val="both"/>
        <w:rPr>
          <w:rFonts w:ascii="Arial" w:hAnsi="Arial"/>
          <w:sz w:val="20"/>
        </w:rPr>
      </w:pPr>
    </w:p>
    <w:p w:rsidR="00315585" w:rsidRDefault="00315585" w:rsidP="00A64F63">
      <w:pPr>
        <w:widowControl/>
        <w:suppressAutoHyphens/>
        <w:spacing w:before="120" w:line="280" w:lineRule="atLeast"/>
        <w:ind w:left="680"/>
        <w:jc w:val="both"/>
        <w:rPr>
          <w:rFonts w:ascii="Arial" w:hAnsi="Arial"/>
          <w:sz w:val="20"/>
        </w:rPr>
      </w:pPr>
    </w:p>
    <w:p w:rsidR="00315585" w:rsidRDefault="00315585" w:rsidP="00A64F63">
      <w:pPr>
        <w:widowControl/>
        <w:suppressAutoHyphens/>
        <w:spacing w:before="120" w:line="280" w:lineRule="atLeast"/>
        <w:ind w:left="680"/>
        <w:jc w:val="both"/>
        <w:rPr>
          <w:rFonts w:ascii="Arial" w:hAnsi="Arial"/>
          <w:sz w:val="20"/>
        </w:rPr>
      </w:pPr>
    </w:p>
    <w:p w:rsidR="00315585" w:rsidRDefault="00315585" w:rsidP="00A64F63">
      <w:pPr>
        <w:widowControl/>
        <w:suppressAutoHyphens/>
        <w:spacing w:before="120" w:line="280" w:lineRule="atLeast"/>
        <w:ind w:left="680"/>
        <w:jc w:val="both"/>
        <w:rPr>
          <w:rFonts w:ascii="Arial" w:hAnsi="Arial"/>
          <w:sz w:val="20"/>
        </w:rPr>
      </w:pPr>
    </w:p>
    <w:p w:rsidR="00315585" w:rsidRDefault="00315585" w:rsidP="00A64F63">
      <w:pPr>
        <w:widowControl/>
        <w:suppressAutoHyphens/>
        <w:spacing w:before="120" w:line="280" w:lineRule="atLeast"/>
        <w:ind w:left="680"/>
        <w:jc w:val="both"/>
        <w:rPr>
          <w:rFonts w:ascii="Arial" w:hAnsi="Arial"/>
          <w:sz w:val="20"/>
        </w:rPr>
      </w:pPr>
    </w:p>
    <w:p w:rsidR="00315585" w:rsidRDefault="00315585" w:rsidP="00A64F63">
      <w:pPr>
        <w:widowControl/>
        <w:suppressAutoHyphens/>
        <w:spacing w:before="120" w:line="280" w:lineRule="atLeast"/>
        <w:ind w:left="680"/>
        <w:jc w:val="both"/>
        <w:rPr>
          <w:rFonts w:ascii="Arial" w:hAnsi="Arial"/>
          <w:sz w:val="20"/>
        </w:rPr>
      </w:pPr>
    </w:p>
    <w:p w:rsidR="00760E87" w:rsidRDefault="00760E87" w:rsidP="0056753E">
      <w:pPr>
        <w:pStyle w:val="Heading1"/>
      </w:pPr>
      <w:bookmarkStart w:id="103" w:name="_Toc396005432"/>
      <w:bookmarkStart w:id="104" w:name="_Toc5282810"/>
      <w:r>
        <w:lastRenderedPageBreak/>
        <w:t>6</w:t>
      </w:r>
      <w:r>
        <w:tab/>
      </w:r>
      <w:bookmarkStart w:id="105" w:name="References"/>
      <w:bookmarkEnd w:id="105"/>
      <w:r>
        <w:t>REFERENCES</w:t>
      </w:r>
      <w:bookmarkEnd w:id="103"/>
      <w:bookmarkEnd w:id="104"/>
    </w:p>
    <w:p w:rsidR="00760E87" w:rsidRPr="00445D21" w:rsidRDefault="00760E87" w:rsidP="003407F8">
      <w:pPr>
        <w:numPr>
          <w:ilvl w:val="0"/>
          <w:numId w:val="15"/>
        </w:numPr>
        <w:tabs>
          <w:tab w:val="left" w:pos="567"/>
        </w:tabs>
        <w:spacing w:before="120" w:line="280" w:lineRule="atLeast"/>
        <w:ind w:left="1134" w:hanging="567"/>
        <w:jc w:val="both"/>
        <w:rPr>
          <w:rFonts w:ascii="Arial" w:hAnsi="Arial" w:cs="Arial"/>
          <w:sz w:val="20"/>
        </w:rPr>
      </w:pPr>
      <w:r w:rsidRPr="00445D21">
        <w:rPr>
          <w:rFonts w:ascii="Arial" w:hAnsi="Arial" w:cs="Arial"/>
          <w:sz w:val="20"/>
        </w:rPr>
        <w:t>European Agency for the Evaluation of Medicinal Products: Human Medicines Evaluation Unit.  Notice to Marketing Authorisation Holders: Pharmacovigilance Guidelines:  29 January 1999: CPMP/</w:t>
      </w:r>
      <w:proofErr w:type="spellStart"/>
      <w:r w:rsidRPr="00445D21">
        <w:rPr>
          <w:rFonts w:ascii="Arial" w:hAnsi="Arial" w:cs="Arial"/>
          <w:sz w:val="20"/>
        </w:rPr>
        <w:t>PhVWP</w:t>
      </w:r>
      <w:proofErr w:type="spellEnd"/>
      <w:r w:rsidRPr="00445D21">
        <w:rPr>
          <w:rFonts w:ascii="Arial" w:hAnsi="Arial" w:cs="Arial"/>
          <w:sz w:val="20"/>
        </w:rPr>
        <w:t xml:space="preserve">/108/99 corr. </w:t>
      </w:r>
    </w:p>
    <w:p w:rsidR="00760E87" w:rsidRPr="00445D21" w:rsidRDefault="00760E87" w:rsidP="003407F8">
      <w:pPr>
        <w:numPr>
          <w:ilvl w:val="0"/>
          <w:numId w:val="15"/>
        </w:numPr>
        <w:tabs>
          <w:tab w:val="left" w:pos="567"/>
        </w:tabs>
        <w:spacing w:before="120" w:line="280" w:lineRule="atLeast"/>
        <w:ind w:left="1134" w:hanging="567"/>
        <w:jc w:val="both"/>
        <w:rPr>
          <w:rFonts w:ascii="Arial" w:hAnsi="Arial" w:cs="Arial"/>
          <w:sz w:val="20"/>
        </w:rPr>
      </w:pPr>
      <w:r w:rsidRPr="00445D21">
        <w:rPr>
          <w:rFonts w:ascii="Arial" w:hAnsi="Arial" w:cs="Arial"/>
          <w:sz w:val="20"/>
        </w:rPr>
        <w:t xml:space="preserve">International Conference on Harmonisation (ICH) of Technical Requirements for Registration of Pharmaceuticals for Human Use: ICH Harmonised Tripartite Guideline.  Clinical Safety Data Management: Definitions and Standards for Expedited Reporting and recommended for adoption at Step 4 of the ICH process on 27 October 1994. </w:t>
      </w:r>
    </w:p>
    <w:p w:rsidR="00760E87" w:rsidRPr="00445D21" w:rsidRDefault="00760E87" w:rsidP="003407F8">
      <w:pPr>
        <w:numPr>
          <w:ilvl w:val="0"/>
          <w:numId w:val="15"/>
        </w:numPr>
        <w:tabs>
          <w:tab w:val="left" w:pos="567"/>
        </w:tabs>
        <w:spacing w:before="120" w:line="280" w:lineRule="atLeast"/>
        <w:ind w:left="1134" w:hanging="567"/>
        <w:jc w:val="both"/>
        <w:rPr>
          <w:rFonts w:ascii="Arial" w:hAnsi="Arial" w:cs="Arial"/>
          <w:sz w:val="20"/>
        </w:rPr>
      </w:pPr>
      <w:r w:rsidRPr="00445D21">
        <w:rPr>
          <w:rFonts w:ascii="Arial" w:hAnsi="Arial" w:cs="Arial"/>
          <w:sz w:val="20"/>
        </w:rPr>
        <w:t xml:space="preserve">International Reporting of Periodic Drug-Safety Update Summaries.  Final report of CIOMS Working Group II.  Geneva 1992. </w:t>
      </w:r>
    </w:p>
    <w:p w:rsidR="00760E87" w:rsidRPr="00445D21" w:rsidRDefault="00760E87" w:rsidP="003407F8">
      <w:pPr>
        <w:numPr>
          <w:ilvl w:val="0"/>
          <w:numId w:val="15"/>
        </w:numPr>
        <w:tabs>
          <w:tab w:val="left" w:pos="567"/>
        </w:tabs>
        <w:spacing w:before="120" w:line="280" w:lineRule="atLeast"/>
        <w:ind w:left="1134" w:hanging="567"/>
        <w:jc w:val="both"/>
        <w:rPr>
          <w:rFonts w:ascii="Arial" w:hAnsi="Arial" w:cs="Arial"/>
          <w:sz w:val="20"/>
        </w:rPr>
      </w:pPr>
      <w:r w:rsidRPr="00445D21">
        <w:rPr>
          <w:rFonts w:ascii="Arial" w:hAnsi="Arial" w:cs="Arial"/>
          <w:sz w:val="20"/>
        </w:rPr>
        <w:t xml:space="preserve">International reporting of Adverse Drug Reactions: Final report of the CIOMS working group.  Geneva 1990. </w:t>
      </w:r>
    </w:p>
    <w:p w:rsidR="00760E87" w:rsidRPr="00445D21" w:rsidRDefault="00760E87" w:rsidP="003407F8">
      <w:pPr>
        <w:numPr>
          <w:ilvl w:val="0"/>
          <w:numId w:val="15"/>
        </w:numPr>
        <w:tabs>
          <w:tab w:val="left" w:pos="567"/>
        </w:tabs>
        <w:spacing w:before="120" w:line="280" w:lineRule="atLeast"/>
        <w:ind w:left="1134" w:hanging="567"/>
        <w:jc w:val="both"/>
        <w:rPr>
          <w:rFonts w:ascii="Arial" w:hAnsi="Arial" w:cs="Arial"/>
          <w:sz w:val="20"/>
        </w:rPr>
      </w:pPr>
      <w:r w:rsidRPr="00445D21">
        <w:rPr>
          <w:rFonts w:ascii="Arial" w:hAnsi="Arial" w:cs="Arial"/>
          <w:sz w:val="20"/>
        </w:rPr>
        <w:t xml:space="preserve">Adverse Drug Reaction Reporting by Manufacturers for Marketed Drugs. Bureau of Drug Surveillance, Drugs Directorate, Health Canada. </w:t>
      </w:r>
    </w:p>
    <w:p w:rsidR="00760E87" w:rsidRPr="00445D21" w:rsidRDefault="00760E87" w:rsidP="003407F8">
      <w:pPr>
        <w:numPr>
          <w:ilvl w:val="0"/>
          <w:numId w:val="15"/>
        </w:numPr>
        <w:tabs>
          <w:tab w:val="left" w:pos="567"/>
        </w:tabs>
        <w:spacing w:before="120" w:line="280" w:lineRule="atLeast"/>
        <w:ind w:left="1134" w:hanging="567"/>
        <w:jc w:val="both"/>
        <w:rPr>
          <w:rFonts w:ascii="Arial" w:hAnsi="Arial" w:cs="Arial"/>
          <w:sz w:val="20"/>
        </w:rPr>
      </w:pPr>
      <w:r w:rsidRPr="00445D21">
        <w:rPr>
          <w:rFonts w:ascii="Arial" w:hAnsi="Arial" w:cs="Arial"/>
          <w:sz w:val="20"/>
        </w:rPr>
        <w:t>U.S. Food and Drug Administration. Guideline for post-marketing reporting of adverse drug experiences.  Docket No. 85D-0249, March 1992.</w:t>
      </w:r>
    </w:p>
    <w:p w:rsidR="00760E87" w:rsidRPr="00445D21" w:rsidRDefault="00760E87" w:rsidP="003407F8">
      <w:pPr>
        <w:numPr>
          <w:ilvl w:val="0"/>
          <w:numId w:val="15"/>
        </w:numPr>
        <w:tabs>
          <w:tab w:val="left" w:pos="567"/>
        </w:tabs>
        <w:spacing w:before="120" w:line="280" w:lineRule="atLeast"/>
        <w:ind w:left="1134" w:hanging="567"/>
        <w:jc w:val="both"/>
        <w:rPr>
          <w:rFonts w:ascii="Arial" w:hAnsi="Arial" w:cs="Arial"/>
          <w:sz w:val="20"/>
        </w:rPr>
      </w:pPr>
      <w:r w:rsidRPr="00445D21">
        <w:rPr>
          <w:rFonts w:ascii="Arial" w:hAnsi="Arial" w:cs="Arial"/>
          <w:sz w:val="20"/>
        </w:rPr>
        <w:t xml:space="preserve">Guidelines on the reporting of Adverse Drug Reactions by Drug Sponsors.  Therapeutic Goods Administration: Australia. July 1994. </w:t>
      </w:r>
    </w:p>
    <w:p w:rsidR="00760E87" w:rsidRPr="00445D21" w:rsidRDefault="00760E87" w:rsidP="003407F8">
      <w:pPr>
        <w:numPr>
          <w:ilvl w:val="0"/>
          <w:numId w:val="15"/>
        </w:numPr>
        <w:tabs>
          <w:tab w:val="left" w:pos="567"/>
        </w:tabs>
        <w:spacing w:before="120" w:line="280" w:lineRule="atLeast"/>
        <w:ind w:left="1134" w:hanging="567"/>
        <w:jc w:val="both"/>
        <w:rPr>
          <w:rFonts w:ascii="Arial" w:hAnsi="Arial" w:cs="Arial"/>
          <w:sz w:val="20"/>
        </w:rPr>
      </w:pPr>
      <w:r w:rsidRPr="00445D21">
        <w:rPr>
          <w:rFonts w:ascii="Arial" w:hAnsi="Arial" w:cs="Arial"/>
          <w:sz w:val="20"/>
        </w:rPr>
        <w:t>ICH Topic E2D: Post</w:t>
      </w:r>
      <w:r w:rsidR="00312785">
        <w:rPr>
          <w:rFonts w:ascii="Arial" w:hAnsi="Arial" w:cs="Arial"/>
          <w:sz w:val="20"/>
        </w:rPr>
        <w:t>-</w:t>
      </w:r>
      <w:r w:rsidRPr="00445D21">
        <w:rPr>
          <w:rFonts w:ascii="Arial" w:hAnsi="Arial" w:cs="Arial"/>
          <w:sz w:val="20"/>
        </w:rPr>
        <w:t>Approval Safety Data Management – Note for Guidance on Definitions and Standards for Expedited Reporting, May 2004.</w:t>
      </w:r>
    </w:p>
    <w:p w:rsidR="00760E87" w:rsidRDefault="00760E87" w:rsidP="003407F8">
      <w:pPr>
        <w:numPr>
          <w:ilvl w:val="0"/>
          <w:numId w:val="15"/>
        </w:numPr>
        <w:tabs>
          <w:tab w:val="left" w:pos="567"/>
        </w:tabs>
        <w:spacing w:before="120" w:line="280" w:lineRule="atLeast"/>
        <w:ind w:left="1134" w:hanging="567"/>
        <w:jc w:val="both"/>
        <w:rPr>
          <w:rFonts w:ascii="Arial" w:hAnsi="Arial"/>
          <w:sz w:val="20"/>
        </w:rPr>
      </w:pPr>
      <w:r w:rsidRPr="00445D21">
        <w:rPr>
          <w:rFonts w:ascii="Arial" w:hAnsi="Arial" w:cs="Arial"/>
          <w:sz w:val="20"/>
        </w:rPr>
        <w:t>The Rules Governing Medicinal Products in the EU, Vol. 9A – Guidelines on Pharmacovigilance for Medicinal</w:t>
      </w:r>
      <w:r>
        <w:rPr>
          <w:rFonts w:ascii="Arial" w:hAnsi="Arial"/>
          <w:sz w:val="20"/>
        </w:rPr>
        <w:t xml:space="preserve"> Products for Human Use. (Sept. 2008)</w:t>
      </w:r>
    </w:p>
    <w:p w:rsidR="00760E87" w:rsidRDefault="00760E87" w:rsidP="00832319">
      <w:pPr>
        <w:pStyle w:val="BodyText"/>
        <w:widowControl/>
        <w:spacing w:after="0" w:line="280" w:lineRule="atLeast"/>
        <w:jc w:val="both"/>
        <w:rPr>
          <w:rFonts w:ascii="Arial" w:hAnsi="Arial"/>
          <w:sz w:val="20"/>
        </w:rPr>
      </w:pPr>
    </w:p>
    <w:p w:rsidR="00760E87" w:rsidRDefault="00760E87" w:rsidP="0056753E">
      <w:pPr>
        <w:pStyle w:val="Heading1"/>
      </w:pPr>
      <w:r>
        <w:br w:type="page"/>
      </w:r>
      <w:bookmarkStart w:id="106" w:name="_Toc396005433"/>
      <w:bookmarkStart w:id="107" w:name="_Toc5282811"/>
      <w:r>
        <w:lastRenderedPageBreak/>
        <w:t>7</w:t>
      </w:r>
      <w:r>
        <w:tab/>
        <w:t>APPENDICES</w:t>
      </w:r>
      <w:bookmarkEnd w:id="106"/>
      <w:bookmarkEnd w:id="107"/>
    </w:p>
    <w:p w:rsidR="00064C8F" w:rsidRDefault="00064C8F" w:rsidP="00064C8F"/>
    <w:p w:rsidR="00760E87" w:rsidRPr="00FA38AD" w:rsidRDefault="00760E87" w:rsidP="0076204F">
      <w:pPr>
        <w:widowControl/>
        <w:tabs>
          <w:tab w:val="left" w:pos="1843"/>
          <w:tab w:val="left" w:pos="1985"/>
          <w:tab w:val="left" w:pos="2127"/>
          <w:tab w:val="left" w:pos="2552"/>
        </w:tabs>
        <w:suppressAutoHyphens/>
        <w:spacing w:line="280" w:lineRule="atLeast"/>
        <w:ind w:left="1418"/>
        <w:rPr>
          <w:rFonts w:ascii="Arial" w:hAnsi="Arial"/>
          <w:sz w:val="20"/>
        </w:rPr>
      </w:pPr>
      <w:bookmarkStart w:id="108" w:name="Appendix_1"/>
      <w:bookmarkStart w:id="109" w:name="Appendix_2"/>
      <w:bookmarkStart w:id="110" w:name="_Toc396005435"/>
      <w:bookmarkEnd w:id="108"/>
      <w:bookmarkEnd w:id="109"/>
      <w:r w:rsidRPr="007B1246">
        <w:rPr>
          <w:rFonts w:ascii="Arial" w:hAnsi="Arial" w:cs="Arial"/>
          <w:b/>
          <w:sz w:val="20"/>
        </w:rPr>
        <w:t xml:space="preserve">APPENDIX </w:t>
      </w:r>
      <w:r w:rsidR="000D116A">
        <w:rPr>
          <w:rFonts w:ascii="Arial" w:hAnsi="Arial" w:cs="Arial"/>
          <w:b/>
          <w:sz w:val="20"/>
        </w:rPr>
        <w:t>1</w:t>
      </w:r>
      <w:r w:rsidRPr="007B1246">
        <w:rPr>
          <w:rFonts w:ascii="Arial" w:hAnsi="Arial" w:cs="Arial"/>
          <w:b/>
          <w:sz w:val="20"/>
        </w:rPr>
        <w:t>:</w:t>
      </w:r>
      <w:r w:rsidRPr="007B1246">
        <w:rPr>
          <w:rFonts w:ascii="Arial" w:hAnsi="Arial" w:cs="Arial"/>
          <w:b/>
          <w:sz w:val="20"/>
        </w:rPr>
        <w:tab/>
        <w:t>TABULATED SUMMARY OF REPORTING REQUIREMENTS</w:t>
      </w:r>
      <w:bookmarkEnd w:id="110"/>
    </w:p>
    <w:p w:rsidR="00760E87" w:rsidRPr="007831A0" w:rsidRDefault="00760E87" w:rsidP="008F5EAF">
      <w:pPr>
        <w:widowControl/>
        <w:suppressAutoHyphens/>
        <w:spacing w:before="240" w:after="120" w:line="280" w:lineRule="atLeast"/>
        <w:jc w:val="center"/>
        <w:rPr>
          <w:rFonts w:ascii="Arial" w:hAnsi="Arial"/>
          <w:b/>
          <w:sz w:val="20"/>
        </w:rPr>
      </w:pPr>
      <w:r>
        <w:rPr>
          <w:rFonts w:ascii="Arial" w:hAnsi="Arial"/>
          <w:b/>
          <w:sz w:val="20"/>
        </w:rPr>
        <w:t>Post-Registration ADR Reports (</w:t>
      </w:r>
      <w:r w:rsidRPr="007831A0">
        <w:rPr>
          <w:rFonts w:ascii="Arial" w:hAnsi="Arial"/>
          <w:b/>
          <w:sz w:val="20"/>
        </w:rPr>
        <w:t>registered medicin</w:t>
      </w:r>
      <w:r w:rsidR="008D61E7" w:rsidRPr="007831A0">
        <w:rPr>
          <w:rFonts w:ascii="Arial" w:hAnsi="Arial"/>
          <w:b/>
          <w:sz w:val="20"/>
        </w:rPr>
        <w:t>es</w:t>
      </w:r>
      <w:r w:rsidRPr="007831A0">
        <w:rPr>
          <w:rFonts w:ascii="Arial" w:hAnsi="Arial"/>
          <w:b/>
          <w:sz w:val="20"/>
        </w:rPr>
        <w:t>)</w:t>
      </w:r>
    </w:p>
    <w:tbl>
      <w:tblPr>
        <w:tblW w:w="9639" w:type="dxa"/>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5245"/>
        <w:gridCol w:w="1842"/>
        <w:gridCol w:w="2552"/>
      </w:tblGrid>
      <w:tr w:rsidR="00372590" w:rsidRPr="004729C0" w:rsidTr="00372590">
        <w:tc>
          <w:tcPr>
            <w:tcW w:w="5245" w:type="dxa"/>
            <w:tcBorders>
              <w:top w:val="double" w:sz="6" w:space="0" w:color="000000"/>
              <w:bottom w:val="double" w:sz="6" w:space="0" w:color="000000"/>
            </w:tcBorders>
          </w:tcPr>
          <w:p w:rsidR="00372590" w:rsidRPr="007831A0" w:rsidRDefault="00372590" w:rsidP="00E22BB0">
            <w:pPr>
              <w:widowControl/>
              <w:suppressAutoHyphens/>
              <w:spacing w:before="80" w:after="40" w:line="280" w:lineRule="atLeast"/>
              <w:jc w:val="center"/>
              <w:rPr>
                <w:rFonts w:ascii="Arial" w:hAnsi="Arial"/>
                <w:b/>
                <w:sz w:val="20"/>
              </w:rPr>
            </w:pPr>
            <w:r w:rsidRPr="007831A0">
              <w:rPr>
                <w:rFonts w:ascii="Arial" w:hAnsi="Arial"/>
                <w:b/>
                <w:sz w:val="20"/>
              </w:rPr>
              <w:t>Type of ADR report</w:t>
            </w:r>
          </w:p>
        </w:tc>
        <w:tc>
          <w:tcPr>
            <w:tcW w:w="1842" w:type="dxa"/>
            <w:tcBorders>
              <w:top w:val="double" w:sz="6" w:space="0" w:color="000000"/>
              <w:bottom w:val="double" w:sz="6" w:space="0" w:color="000000"/>
            </w:tcBorders>
          </w:tcPr>
          <w:p w:rsidR="00372590" w:rsidRPr="007831A0" w:rsidRDefault="00372590" w:rsidP="00723B6D">
            <w:pPr>
              <w:widowControl/>
              <w:suppressAutoHyphens/>
              <w:spacing w:before="80" w:after="40"/>
              <w:jc w:val="center"/>
              <w:rPr>
                <w:rFonts w:ascii="Arial" w:hAnsi="Arial"/>
                <w:b/>
                <w:sz w:val="20"/>
              </w:rPr>
            </w:pPr>
            <w:r w:rsidRPr="007831A0">
              <w:rPr>
                <w:rFonts w:ascii="Arial" w:hAnsi="Arial"/>
                <w:b/>
                <w:sz w:val="20"/>
              </w:rPr>
              <w:t>Time frame for reporting</w:t>
            </w:r>
          </w:p>
        </w:tc>
        <w:tc>
          <w:tcPr>
            <w:tcW w:w="2552" w:type="dxa"/>
            <w:tcBorders>
              <w:top w:val="double" w:sz="6" w:space="0" w:color="000000"/>
              <w:bottom w:val="double" w:sz="6" w:space="0" w:color="000000"/>
            </w:tcBorders>
          </w:tcPr>
          <w:p w:rsidR="00372590" w:rsidRPr="007831A0" w:rsidRDefault="00372590" w:rsidP="00E22BB0">
            <w:pPr>
              <w:pStyle w:val="Heading7"/>
              <w:tabs>
                <w:tab w:val="clear" w:pos="-6318"/>
                <w:tab w:val="clear" w:pos="-5598"/>
                <w:tab w:val="clear" w:pos="-4878"/>
                <w:tab w:val="clear" w:pos="-4158"/>
                <w:tab w:val="clear" w:pos="-3438"/>
                <w:tab w:val="clear" w:pos="-2718"/>
                <w:tab w:val="clear" w:pos="-1998"/>
                <w:tab w:val="clear" w:pos="-1278"/>
                <w:tab w:val="clear" w:pos="-558"/>
                <w:tab w:val="clear" w:pos="162"/>
                <w:tab w:val="clear" w:pos="882"/>
                <w:tab w:val="clear" w:pos="1602"/>
                <w:tab w:val="clear" w:pos="2322"/>
              </w:tabs>
              <w:spacing w:before="80" w:after="40" w:line="280" w:lineRule="atLeast"/>
              <w:rPr>
                <w:color w:val="auto"/>
                <w:sz w:val="20"/>
              </w:rPr>
            </w:pPr>
            <w:r w:rsidRPr="007831A0">
              <w:rPr>
                <w:color w:val="auto"/>
                <w:sz w:val="20"/>
              </w:rPr>
              <w:t>Format</w:t>
            </w:r>
          </w:p>
        </w:tc>
      </w:tr>
      <w:tr w:rsidR="00372590" w:rsidRPr="004729C0" w:rsidTr="00372590">
        <w:tc>
          <w:tcPr>
            <w:tcW w:w="5245" w:type="dxa"/>
            <w:tcBorders>
              <w:top w:val="nil"/>
            </w:tcBorders>
          </w:tcPr>
          <w:p w:rsidR="00372590" w:rsidRPr="007831A0" w:rsidRDefault="00372590" w:rsidP="00D32563">
            <w:pPr>
              <w:widowControl/>
              <w:suppressAutoHyphens/>
              <w:spacing w:before="80" w:line="280" w:lineRule="atLeast"/>
              <w:rPr>
                <w:rFonts w:ascii="Arial" w:hAnsi="Arial"/>
                <w:sz w:val="20"/>
              </w:rPr>
            </w:pPr>
            <w:r w:rsidRPr="007831A0">
              <w:rPr>
                <w:rFonts w:ascii="Arial" w:hAnsi="Arial"/>
                <w:sz w:val="20"/>
              </w:rPr>
              <w:t xml:space="preserve">South African Reports (spontaneous/published/study): </w:t>
            </w:r>
          </w:p>
          <w:p w:rsidR="00372590" w:rsidRDefault="00372590" w:rsidP="00723B6D">
            <w:pPr>
              <w:widowControl/>
              <w:numPr>
                <w:ilvl w:val="0"/>
                <w:numId w:val="9"/>
              </w:numPr>
              <w:tabs>
                <w:tab w:val="clear" w:pos="360"/>
              </w:tabs>
              <w:suppressAutoHyphens/>
              <w:spacing w:before="80" w:line="280" w:lineRule="atLeast"/>
              <w:ind w:left="357" w:hanging="357"/>
              <w:rPr>
                <w:rFonts w:ascii="Arial" w:hAnsi="Arial"/>
                <w:sz w:val="20"/>
              </w:rPr>
            </w:pPr>
            <w:r w:rsidRPr="007831A0">
              <w:rPr>
                <w:rFonts w:ascii="Arial" w:hAnsi="Arial"/>
                <w:sz w:val="20"/>
              </w:rPr>
              <w:t>Serious (expected and unexpected)</w:t>
            </w:r>
          </w:p>
          <w:p w:rsidR="001A4723" w:rsidRPr="007831A0" w:rsidRDefault="001A4723" w:rsidP="001A4723">
            <w:pPr>
              <w:widowControl/>
              <w:suppressAutoHyphens/>
              <w:spacing w:before="80" w:line="280" w:lineRule="atLeast"/>
              <w:ind w:left="357"/>
              <w:rPr>
                <w:rFonts w:ascii="Arial" w:hAnsi="Arial"/>
                <w:sz w:val="20"/>
              </w:rPr>
            </w:pPr>
          </w:p>
          <w:p w:rsidR="00372590" w:rsidRPr="007831A0" w:rsidRDefault="00372590" w:rsidP="003407F8">
            <w:pPr>
              <w:widowControl/>
              <w:numPr>
                <w:ilvl w:val="0"/>
                <w:numId w:val="10"/>
              </w:numPr>
              <w:tabs>
                <w:tab w:val="clear" w:pos="360"/>
              </w:tabs>
              <w:suppressAutoHyphens/>
              <w:spacing w:before="80" w:after="80" w:line="280" w:lineRule="atLeast"/>
              <w:ind w:left="357" w:hanging="357"/>
              <w:rPr>
                <w:rFonts w:ascii="Arial" w:hAnsi="Arial"/>
                <w:sz w:val="20"/>
              </w:rPr>
            </w:pPr>
            <w:r w:rsidRPr="007831A0">
              <w:rPr>
                <w:rFonts w:ascii="Arial" w:hAnsi="Arial"/>
                <w:sz w:val="20"/>
              </w:rPr>
              <w:t>Non-serious (expected and unexpected)</w:t>
            </w:r>
          </w:p>
        </w:tc>
        <w:tc>
          <w:tcPr>
            <w:tcW w:w="1842" w:type="dxa"/>
            <w:tcBorders>
              <w:top w:val="nil"/>
            </w:tcBorders>
          </w:tcPr>
          <w:p w:rsidR="00372590" w:rsidRPr="007831A0" w:rsidRDefault="00372590" w:rsidP="00E22BB0">
            <w:pPr>
              <w:widowControl/>
              <w:suppressAutoHyphens/>
              <w:spacing w:before="80" w:line="280" w:lineRule="atLeast"/>
              <w:rPr>
                <w:rFonts w:ascii="Arial" w:hAnsi="Arial"/>
                <w:sz w:val="20"/>
              </w:rPr>
            </w:pPr>
          </w:p>
          <w:p w:rsidR="00372590" w:rsidRPr="007831A0" w:rsidRDefault="00245FB7" w:rsidP="00E22BB0">
            <w:pPr>
              <w:widowControl/>
              <w:suppressAutoHyphens/>
              <w:spacing w:before="80" w:line="280" w:lineRule="atLeast"/>
              <w:rPr>
                <w:rFonts w:ascii="Arial" w:hAnsi="Arial"/>
                <w:sz w:val="20"/>
              </w:rPr>
            </w:pPr>
            <w:r>
              <w:rPr>
                <w:rFonts w:ascii="Arial" w:hAnsi="Arial" w:cs="Arial"/>
                <w:sz w:val="20"/>
              </w:rPr>
              <w:t>≤</w:t>
            </w:r>
            <w:r w:rsidR="00372590" w:rsidRPr="007831A0">
              <w:rPr>
                <w:rFonts w:ascii="Arial" w:hAnsi="Arial"/>
                <w:sz w:val="20"/>
              </w:rPr>
              <w:t xml:space="preserve">15 </w:t>
            </w:r>
            <w:r w:rsidR="00D6102B">
              <w:rPr>
                <w:rFonts w:ascii="Arial" w:hAnsi="Arial"/>
                <w:sz w:val="20"/>
              </w:rPr>
              <w:t xml:space="preserve">calendar </w:t>
            </w:r>
            <w:r w:rsidR="00372590" w:rsidRPr="007831A0">
              <w:rPr>
                <w:rFonts w:ascii="Arial" w:hAnsi="Arial"/>
                <w:sz w:val="20"/>
              </w:rPr>
              <w:t>days</w:t>
            </w:r>
          </w:p>
          <w:p w:rsidR="00372590" w:rsidRPr="007831A0" w:rsidRDefault="003612AF" w:rsidP="00E22BB0">
            <w:pPr>
              <w:widowControl/>
              <w:suppressAutoHyphens/>
              <w:spacing w:before="80" w:line="280" w:lineRule="atLeast"/>
              <w:rPr>
                <w:rFonts w:ascii="Arial" w:hAnsi="Arial"/>
                <w:strike/>
                <w:sz w:val="20"/>
              </w:rPr>
            </w:pPr>
            <w:r>
              <w:rPr>
                <w:rFonts w:ascii="Arial" w:hAnsi="Arial"/>
                <w:sz w:val="20"/>
              </w:rPr>
              <w:t>Upon request</w:t>
            </w:r>
            <w:r w:rsidR="00982BEB">
              <w:rPr>
                <w:rFonts w:ascii="Arial" w:hAnsi="Arial"/>
                <w:sz w:val="20"/>
              </w:rPr>
              <w:t xml:space="preserve"> </w:t>
            </w:r>
            <w:r w:rsidR="008442D3" w:rsidRPr="00064C8F">
              <w:rPr>
                <w:rFonts w:ascii="Arial" w:hAnsi="Arial"/>
                <w:sz w:val="20"/>
              </w:rPr>
              <w:t>within</w:t>
            </w:r>
            <w:r w:rsidR="008442D3" w:rsidRPr="00BE38B3">
              <w:rPr>
                <w:rFonts w:ascii="Arial" w:hAnsi="Arial"/>
                <w:color w:val="1F497D" w:themeColor="text2"/>
                <w:sz w:val="20"/>
              </w:rPr>
              <w:t xml:space="preserve"> </w:t>
            </w:r>
            <w:r w:rsidR="008442D3" w:rsidRPr="00064C8F">
              <w:rPr>
                <w:rFonts w:ascii="Arial" w:hAnsi="Arial"/>
                <w:sz w:val="20"/>
              </w:rPr>
              <w:t>30</w:t>
            </w:r>
            <w:r w:rsidR="00B252E2" w:rsidRPr="00064C8F">
              <w:rPr>
                <w:rFonts w:ascii="Arial" w:hAnsi="Arial"/>
                <w:sz w:val="20"/>
              </w:rPr>
              <w:t xml:space="preserve"> calendar</w:t>
            </w:r>
            <w:r w:rsidR="008442D3" w:rsidRPr="00064C8F">
              <w:rPr>
                <w:rFonts w:ascii="Arial" w:hAnsi="Arial"/>
                <w:sz w:val="20"/>
              </w:rPr>
              <w:t xml:space="preserve"> days</w:t>
            </w:r>
          </w:p>
        </w:tc>
        <w:tc>
          <w:tcPr>
            <w:tcW w:w="2552" w:type="dxa"/>
            <w:tcBorders>
              <w:top w:val="nil"/>
            </w:tcBorders>
          </w:tcPr>
          <w:p w:rsidR="00372590" w:rsidRPr="007831A0" w:rsidRDefault="00372590" w:rsidP="00E22BB0">
            <w:pPr>
              <w:widowControl/>
              <w:suppressAutoHyphens/>
              <w:spacing w:before="80" w:line="280" w:lineRule="atLeast"/>
              <w:rPr>
                <w:rFonts w:ascii="Arial" w:hAnsi="Arial"/>
                <w:sz w:val="20"/>
              </w:rPr>
            </w:pPr>
          </w:p>
          <w:p w:rsidR="00372590" w:rsidRDefault="001A4723" w:rsidP="00E22BB0">
            <w:pPr>
              <w:widowControl/>
              <w:suppressAutoHyphens/>
              <w:spacing w:before="80" w:line="280" w:lineRule="atLeast"/>
              <w:rPr>
                <w:rFonts w:ascii="Arial" w:hAnsi="Arial"/>
                <w:sz w:val="20"/>
              </w:rPr>
            </w:pPr>
            <w:r>
              <w:rPr>
                <w:rFonts w:ascii="Arial" w:hAnsi="Arial"/>
                <w:sz w:val="20"/>
              </w:rPr>
              <w:t>ADR /CIOMS/In-house form</w:t>
            </w:r>
          </w:p>
          <w:p w:rsidR="00372590" w:rsidRPr="007831A0" w:rsidRDefault="00D6102B" w:rsidP="00EB61DA">
            <w:pPr>
              <w:widowControl/>
              <w:suppressAutoHyphens/>
              <w:spacing w:before="80" w:line="280" w:lineRule="atLeast"/>
              <w:rPr>
                <w:rFonts w:ascii="Arial" w:hAnsi="Arial"/>
                <w:strike/>
                <w:sz w:val="20"/>
                <w:lang w:val="de-DE"/>
              </w:rPr>
            </w:pPr>
            <w:r>
              <w:rPr>
                <w:rFonts w:ascii="Arial" w:hAnsi="Arial"/>
                <w:sz w:val="20"/>
              </w:rPr>
              <w:t>SR</w:t>
            </w:r>
          </w:p>
        </w:tc>
      </w:tr>
      <w:tr w:rsidR="00372590" w:rsidRPr="004729C0" w:rsidTr="00372590">
        <w:tc>
          <w:tcPr>
            <w:tcW w:w="5245" w:type="dxa"/>
          </w:tcPr>
          <w:p w:rsidR="00372590" w:rsidRDefault="00372590" w:rsidP="00E22BB0">
            <w:pPr>
              <w:widowControl/>
              <w:suppressAutoHyphens/>
              <w:spacing w:before="80" w:line="280" w:lineRule="atLeast"/>
              <w:rPr>
                <w:rFonts w:ascii="Arial" w:hAnsi="Arial"/>
                <w:sz w:val="20"/>
              </w:rPr>
            </w:pPr>
            <w:r>
              <w:rPr>
                <w:rFonts w:ascii="Arial" w:hAnsi="Arial"/>
                <w:sz w:val="20"/>
              </w:rPr>
              <w:t>Foreign Reports</w:t>
            </w:r>
          </w:p>
          <w:p w:rsidR="00372590" w:rsidRDefault="00372590" w:rsidP="00F3162D">
            <w:pPr>
              <w:widowControl/>
              <w:suppressAutoHyphens/>
              <w:spacing w:line="280" w:lineRule="atLeast"/>
              <w:rPr>
                <w:rFonts w:ascii="Arial" w:hAnsi="Arial"/>
                <w:sz w:val="20"/>
              </w:rPr>
            </w:pPr>
            <w:r>
              <w:rPr>
                <w:rFonts w:ascii="Arial" w:hAnsi="Arial"/>
                <w:sz w:val="20"/>
              </w:rPr>
              <w:t xml:space="preserve">(spontaneous/published/ study): </w:t>
            </w:r>
          </w:p>
          <w:p w:rsidR="00372590" w:rsidRDefault="00372590" w:rsidP="003407F8">
            <w:pPr>
              <w:widowControl/>
              <w:numPr>
                <w:ilvl w:val="0"/>
                <w:numId w:val="11"/>
              </w:numPr>
              <w:tabs>
                <w:tab w:val="clear" w:pos="360"/>
              </w:tabs>
              <w:suppressAutoHyphens/>
              <w:spacing w:before="80" w:after="80" w:line="280" w:lineRule="atLeast"/>
              <w:ind w:left="357" w:hanging="357"/>
              <w:rPr>
                <w:rFonts w:ascii="Arial" w:hAnsi="Arial"/>
                <w:sz w:val="20"/>
              </w:rPr>
            </w:pPr>
            <w:r>
              <w:rPr>
                <w:rFonts w:ascii="Arial" w:hAnsi="Arial"/>
                <w:sz w:val="20"/>
              </w:rPr>
              <w:t xml:space="preserve">Serious </w:t>
            </w:r>
          </w:p>
        </w:tc>
        <w:tc>
          <w:tcPr>
            <w:tcW w:w="1842" w:type="dxa"/>
          </w:tcPr>
          <w:p w:rsidR="00372590" w:rsidRDefault="00372590" w:rsidP="00245FB7">
            <w:pPr>
              <w:widowControl/>
              <w:suppressAutoHyphens/>
              <w:spacing w:before="80" w:after="80" w:line="280" w:lineRule="atLeast"/>
              <w:rPr>
                <w:rFonts w:ascii="Arial" w:hAnsi="Arial"/>
                <w:sz w:val="20"/>
              </w:rPr>
            </w:pPr>
            <w:r>
              <w:rPr>
                <w:rFonts w:ascii="Arial" w:hAnsi="Arial"/>
                <w:sz w:val="20"/>
              </w:rPr>
              <w:t xml:space="preserve">On request or relating to </w:t>
            </w:r>
            <w:r w:rsidR="00D6102B">
              <w:rPr>
                <w:rFonts w:ascii="Arial" w:hAnsi="Arial"/>
                <w:sz w:val="20"/>
              </w:rPr>
              <w:t xml:space="preserve">a </w:t>
            </w:r>
            <w:r>
              <w:rPr>
                <w:rFonts w:ascii="Arial" w:hAnsi="Arial"/>
                <w:sz w:val="20"/>
              </w:rPr>
              <w:t>s</w:t>
            </w:r>
            <w:r w:rsidR="00245FB7">
              <w:rPr>
                <w:rFonts w:ascii="Arial" w:hAnsi="Arial"/>
                <w:sz w:val="20"/>
              </w:rPr>
              <w:t>ignificant</w:t>
            </w:r>
            <w:r>
              <w:rPr>
                <w:rFonts w:ascii="Arial" w:hAnsi="Arial"/>
                <w:sz w:val="20"/>
              </w:rPr>
              <w:t xml:space="preserve"> safety issue</w:t>
            </w:r>
          </w:p>
        </w:tc>
        <w:tc>
          <w:tcPr>
            <w:tcW w:w="2552" w:type="dxa"/>
            <w:vAlign w:val="center"/>
          </w:tcPr>
          <w:p w:rsidR="00372590" w:rsidRDefault="00372590" w:rsidP="00E22BB0">
            <w:pPr>
              <w:widowControl/>
              <w:tabs>
                <w:tab w:val="left" w:pos="-6318"/>
                <w:tab w:val="left" w:pos="-5598"/>
                <w:tab w:val="left" w:pos="-4878"/>
                <w:tab w:val="left" w:pos="-4158"/>
                <w:tab w:val="left" w:pos="-3438"/>
                <w:tab w:val="left" w:pos="-2718"/>
                <w:tab w:val="left" w:pos="-1998"/>
                <w:tab w:val="left" w:pos="-1278"/>
                <w:tab w:val="left" w:pos="-558"/>
              </w:tabs>
              <w:suppressAutoHyphens/>
              <w:spacing w:before="80" w:line="280" w:lineRule="atLeast"/>
              <w:rPr>
                <w:rFonts w:ascii="Arial" w:hAnsi="Arial"/>
                <w:sz w:val="20"/>
              </w:rPr>
            </w:pPr>
            <w:r>
              <w:rPr>
                <w:rFonts w:ascii="Arial" w:hAnsi="Arial"/>
                <w:sz w:val="20"/>
              </w:rPr>
              <w:t>As appropriate</w:t>
            </w:r>
          </w:p>
        </w:tc>
      </w:tr>
      <w:tr w:rsidR="00372590" w:rsidRPr="004729C0" w:rsidTr="00372590">
        <w:tc>
          <w:tcPr>
            <w:tcW w:w="5245" w:type="dxa"/>
          </w:tcPr>
          <w:p w:rsidR="00372590" w:rsidRDefault="00372590" w:rsidP="00E22BB0">
            <w:pPr>
              <w:widowControl/>
              <w:suppressAutoHyphens/>
              <w:spacing w:before="80" w:line="280" w:lineRule="atLeast"/>
              <w:rPr>
                <w:rFonts w:ascii="Arial" w:hAnsi="Arial"/>
                <w:sz w:val="20"/>
              </w:rPr>
            </w:pPr>
            <w:r>
              <w:rPr>
                <w:rFonts w:ascii="Arial" w:hAnsi="Arial"/>
                <w:sz w:val="20"/>
              </w:rPr>
              <w:t>Notification of Change in Nature, Severity or Frequency or Risk factors</w:t>
            </w:r>
          </w:p>
        </w:tc>
        <w:tc>
          <w:tcPr>
            <w:tcW w:w="1842" w:type="dxa"/>
            <w:vAlign w:val="center"/>
          </w:tcPr>
          <w:p w:rsidR="00372590" w:rsidRDefault="00245FB7" w:rsidP="00E22BB0">
            <w:pPr>
              <w:widowControl/>
              <w:suppressAutoHyphens/>
              <w:spacing w:before="80" w:line="280" w:lineRule="atLeast"/>
              <w:rPr>
                <w:rFonts w:ascii="Arial" w:hAnsi="Arial"/>
                <w:sz w:val="20"/>
              </w:rPr>
            </w:pPr>
            <w:r>
              <w:rPr>
                <w:rFonts w:ascii="Arial" w:hAnsi="Arial" w:cs="Arial"/>
                <w:sz w:val="20"/>
              </w:rPr>
              <w:t>≤</w:t>
            </w:r>
            <w:r w:rsidR="002F19E0" w:rsidRPr="00250E43">
              <w:rPr>
                <w:rFonts w:ascii="Arial" w:hAnsi="Arial"/>
                <w:sz w:val="20"/>
              </w:rPr>
              <w:t>3</w:t>
            </w:r>
            <w:r w:rsidR="00ED6473">
              <w:rPr>
                <w:rFonts w:ascii="Arial" w:hAnsi="Arial"/>
                <w:sz w:val="20"/>
              </w:rPr>
              <w:t xml:space="preserve"> </w:t>
            </w:r>
            <w:r w:rsidR="00D6102B">
              <w:rPr>
                <w:rFonts w:ascii="Arial" w:hAnsi="Arial"/>
                <w:sz w:val="20"/>
              </w:rPr>
              <w:t xml:space="preserve">calendar </w:t>
            </w:r>
            <w:r w:rsidR="00372590">
              <w:rPr>
                <w:rFonts w:ascii="Arial" w:hAnsi="Arial"/>
                <w:sz w:val="20"/>
              </w:rPr>
              <w:t xml:space="preserve">days </w:t>
            </w:r>
          </w:p>
        </w:tc>
        <w:tc>
          <w:tcPr>
            <w:tcW w:w="2552" w:type="dxa"/>
          </w:tcPr>
          <w:p w:rsidR="00372590" w:rsidRDefault="00372590" w:rsidP="00E22BB0">
            <w:pPr>
              <w:widowControl/>
              <w:suppressAutoHyphens/>
              <w:spacing w:before="80" w:after="80" w:line="280" w:lineRule="atLeast"/>
              <w:rPr>
                <w:rFonts w:ascii="Arial" w:hAnsi="Arial"/>
                <w:sz w:val="20"/>
              </w:rPr>
            </w:pPr>
            <w:r>
              <w:rPr>
                <w:rFonts w:ascii="Arial" w:hAnsi="Arial"/>
                <w:sz w:val="20"/>
              </w:rPr>
              <w:t>Detailed report</w:t>
            </w:r>
            <w:r w:rsidR="00ED6473">
              <w:rPr>
                <w:rFonts w:ascii="Arial" w:hAnsi="Arial"/>
                <w:sz w:val="20"/>
              </w:rPr>
              <w:t xml:space="preserve"> </w:t>
            </w:r>
            <w:r>
              <w:rPr>
                <w:rFonts w:ascii="Arial" w:hAnsi="Arial"/>
                <w:sz w:val="20"/>
              </w:rPr>
              <w:t>(including publications)</w:t>
            </w:r>
          </w:p>
        </w:tc>
      </w:tr>
      <w:tr w:rsidR="00372590" w:rsidRPr="004729C0" w:rsidTr="00627E8F">
        <w:tc>
          <w:tcPr>
            <w:tcW w:w="5245" w:type="dxa"/>
            <w:tcBorders>
              <w:bottom w:val="double" w:sz="6" w:space="0" w:color="000000"/>
            </w:tcBorders>
          </w:tcPr>
          <w:p w:rsidR="00372590" w:rsidRPr="007831A0" w:rsidRDefault="00245FB7" w:rsidP="00FD411B">
            <w:pPr>
              <w:widowControl/>
              <w:suppressAutoHyphens/>
              <w:spacing w:before="80" w:line="280" w:lineRule="atLeast"/>
              <w:rPr>
                <w:rFonts w:ascii="Arial" w:hAnsi="Arial"/>
                <w:sz w:val="20"/>
              </w:rPr>
            </w:pPr>
            <w:r>
              <w:rPr>
                <w:rFonts w:ascii="Arial" w:hAnsi="Arial"/>
                <w:b/>
                <w:color w:val="000000" w:themeColor="text1"/>
                <w:sz w:val="20"/>
              </w:rPr>
              <w:t xml:space="preserve">Significant safety issues - </w:t>
            </w:r>
            <w:r w:rsidR="00372590" w:rsidRPr="005B382D">
              <w:rPr>
                <w:rFonts w:ascii="Arial" w:hAnsi="Arial"/>
                <w:b/>
                <w:color w:val="000000" w:themeColor="text1"/>
                <w:sz w:val="20"/>
              </w:rPr>
              <w:t>New</w:t>
            </w:r>
            <w:r>
              <w:rPr>
                <w:rFonts w:ascii="Arial" w:hAnsi="Arial"/>
                <w:b/>
                <w:color w:val="000000" w:themeColor="text1"/>
                <w:sz w:val="20"/>
              </w:rPr>
              <w:t xml:space="preserve"> safety</w:t>
            </w:r>
            <w:r w:rsidR="00372590" w:rsidRPr="005B382D">
              <w:rPr>
                <w:rFonts w:ascii="Arial" w:hAnsi="Arial"/>
                <w:b/>
                <w:color w:val="000000" w:themeColor="text1"/>
                <w:sz w:val="20"/>
              </w:rPr>
              <w:t xml:space="preserve"> information</w:t>
            </w:r>
            <w:r w:rsidR="00372590" w:rsidRPr="007831A0">
              <w:rPr>
                <w:rFonts w:ascii="Arial" w:hAnsi="Arial"/>
                <w:sz w:val="20"/>
              </w:rPr>
              <w:t xml:space="preserve"> impacting on benefit-risk profile of </w:t>
            </w:r>
            <w:r w:rsidR="00D6102B">
              <w:rPr>
                <w:rFonts w:ascii="Arial" w:hAnsi="Arial"/>
                <w:sz w:val="20"/>
              </w:rPr>
              <w:t xml:space="preserve">a </w:t>
            </w:r>
            <w:r w:rsidR="00372590" w:rsidRPr="007831A0">
              <w:rPr>
                <w:rFonts w:ascii="Arial" w:hAnsi="Arial"/>
                <w:sz w:val="20"/>
              </w:rPr>
              <w:t xml:space="preserve">medicine including decisions by national medicines regulatory authorities other than </w:t>
            </w:r>
            <w:r w:rsidR="008442D3" w:rsidRPr="000D116A">
              <w:rPr>
                <w:rFonts w:ascii="Arial" w:hAnsi="Arial"/>
                <w:sz w:val="20"/>
              </w:rPr>
              <w:t xml:space="preserve">the </w:t>
            </w:r>
            <w:r w:rsidR="008442D3" w:rsidRPr="00064C8F">
              <w:rPr>
                <w:rFonts w:ascii="Arial" w:hAnsi="Arial"/>
                <w:sz w:val="20"/>
              </w:rPr>
              <w:t>Authority</w:t>
            </w:r>
          </w:p>
        </w:tc>
        <w:tc>
          <w:tcPr>
            <w:tcW w:w="1842" w:type="dxa"/>
            <w:tcBorders>
              <w:bottom w:val="double" w:sz="6" w:space="0" w:color="000000"/>
            </w:tcBorders>
            <w:vAlign w:val="center"/>
          </w:tcPr>
          <w:p w:rsidR="00372590" w:rsidRPr="007831A0" w:rsidRDefault="00245FB7" w:rsidP="00372590">
            <w:pPr>
              <w:widowControl/>
              <w:suppressAutoHyphens/>
              <w:spacing w:line="280" w:lineRule="atLeast"/>
              <w:rPr>
                <w:rFonts w:ascii="Arial" w:hAnsi="Arial"/>
                <w:sz w:val="20"/>
              </w:rPr>
            </w:pPr>
            <w:r>
              <w:rPr>
                <w:rFonts w:ascii="Arial" w:hAnsi="Arial" w:cs="Arial"/>
                <w:sz w:val="20"/>
              </w:rPr>
              <w:t>≤</w:t>
            </w:r>
            <w:r w:rsidR="00372590" w:rsidRPr="007831A0">
              <w:rPr>
                <w:rFonts w:ascii="Arial" w:hAnsi="Arial"/>
                <w:sz w:val="20"/>
              </w:rPr>
              <w:t xml:space="preserve">3 </w:t>
            </w:r>
            <w:r w:rsidR="00D6102B">
              <w:rPr>
                <w:rFonts w:ascii="Arial" w:hAnsi="Arial"/>
                <w:sz w:val="20"/>
              </w:rPr>
              <w:t xml:space="preserve">calendar </w:t>
            </w:r>
            <w:r w:rsidR="00372590" w:rsidRPr="007831A0">
              <w:rPr>
                <w:rFonts w:ascii="Arial" w:hAnsi="Arial"/>
                <w:sz w:val="20"/>
              </w:rPr>
              <w:t xml:space="preserve">days </w:t>
            </w:r>
          </w:p>
        </w:tc>
        <w:tc>
          <w:tcPr>
            <w:tcW w:w="2552" w:type="dxa"/>
            <w:tcBorders>
              <w:bottom w:val="double" w:sz="6" w:space="0" w:color="000000"/>
            </w:tcBorders>
            <w:vAlign w:val="center"/>
          </w:tcPr>
          <w:p w:rsidR="00372590" w:rsidRPr="007831A0" w:rsidRDefault="00372590" w:rsidP="00627E8F">
            <w:pPr>
              <w:widowControl/>
              <w:suppressAutoHyphens/>
              <w:spacing w:line="280" w:lineRule="atLeast"/>
              <w:rPr>
                <w:rFonts w:ascii="Arial" w:hAnsi="Arial"/>
                <w:sz w:val="20"/>
              </w:rPr>
            </w:pPr>
            <w:r w:rsidRPr="007831A0">
              <w:rPr>
                <w:rFonts w:ascii="Arial" w:hAnsi="Arial"/>
                <w:sz w:val="20"/>
              </w:rPr>
              <w:t>Detailed report (including publications)</w:t>
            </w:r>
          </w:p>
        </w:tc>
      </w:tr>
    </w:tbl>
    <w:p w:rsidR="00035A8C" w:rsidRDefault="00035A8C">
      <w:pPr>
        <w:widowControl/>
        <w:rPr>
          <w:rFonts w:ascii="Arial" w:hAnsi="Arial"/>
          <w:sz w:val="20"/>
        </w:rPr>
      </w:pPr>
      <w:bookmarkStart w:id="111" w:name="Appendix_3"/>
      <w:bookmarkStart w:id="112" w:name="_Toc396005436"/>
      <w:r>
        <w:rPr>
          <w:b/>
        </w:rPr>
        <w:br w:type="page"/>
      </w:r>
    </w:p>
    <w:p w:rsidR="006E7233" w:rsidRPr="002E5DB7" w:rsidRDefault="000C320D" w:rsidP="00C75E97">
      <w:pPr>
        <w:pStyle w:val="Heading2"/>
        <w:tabs>
          <w:tab w:val="clear" w:pos="680"/>
          <w:tab w:val="left" w:pos="567"/>
          <w:tab w:val="left" w:pos="2552"/>
        </w:tabs>
        <w:ind w:left="567"/>
      </w:pPr>
      <w:bookmarkStart w:id="113" w:name="_Toc5282812"/>
      <w:bookmarkEnd w:id="111"/>
      <w:r>
        <w:lastRenderedPageBreak/>
        <w:t xml:space="preserve">APPENDIX </w:t>
      </w:r>
      <w:r w:rsidR="001C4530">
        <w:t>2</w:t>
      </w:r>
      <w:r>
        <w:t>:</w:t>
      </w:r>
      <w:r>
        <w:tab/>
      </w:r>
      <w:r w:rsidR="006E7233" w:rsidRPr="002E5DB7">
        <w:t>TEMPLATE FOR SUMMARY REPORT</w:t>
      </w:r>
      <w:bookmarkEnd w:id="112"/>
      <w:bookmarkEnd w:id="113"/>
    </w:p>
    <w:p w:rsidR="006E7233" w:rsidRPr="002E5DB7" w:rsidRDefault="006E7233" w:rsidP="00C75E97">
      <w:pPr>
        <w:widowControl/>
        <w:numPr>
          <w:ilvl w:val="0"/>
          <w:numId w:val="16"/>
        </w:numPr>
        <w:tabs>
          <w:tab w:val="left" w:pos="1134"/>
        </w:tabs>
        <w:suppressAutoHyphens/>
        <w:spacing w:before="240" w:line="280" w:lineRule="atLeast"/>
        <w:ind w:left="1134" w:hanging="567"/>
        <w:jc w:val="both"/>
        <w:rPr>
          <w:rFonts w:ascii="Arial" w:hAnsi="Arial"/>
          <w:b/>
          <w:sz w:val="20"/>
        </w:rPr>
      </w:pPr>
      <w:r w:rsidRPr="002E5DB7">
        <w:rPr>
          <w:rFonts w:ascii="Arial" w:hAnsi="Arial"/>
          <w:b/>
          <w:sz w:val="20"/>
        </w:rPr>
        <w:t>Review period</w:t>
      </w:r>
    </w:p>
    <w:p w:rsidR="006E7233" w:rsidRPr="002E5DB7" w:rsidRDefault="006E7233" w:rsidP="00C75E97">
      <w:pPr>
        <w:widowControl/>
        <w:suppressAutoHyphens/>
        <w:spacing w:before="120" w:line="280" w:lineRule="atLeast"/>
        <w:ind w:left="1134"/>
        <w:jc w:val="both"/>
        <w:rPr>
          <w:rFonts w:ascii="Arial" w:hAnsi="Arial"/>
          <w:sz w:val="20"/>
        </w:rPr>
      </w:pPr>
      <w:r w:rsidRPr="002E5DB7">
        <w:rPr>
          <w:rFonts w:ascii="Arial" w:hAnsi="Arial"/>
          <w:sz w:val="20"/>
        </w:rPr>
        <w:t>Specify the dates for the 12-month period applicable to the data presented. If periods differ for different medicines, this needs to be specified. It should be kept in mind that the data must be presented annually.</w:t>
      </w:r>
    </w:p>
    <w:p w:rsidR="006E7233" w:rsidRPr="002E5DB7" w:rsidRDefault="00CA2021" w:rsidP="00C75E97">
      <w:pPr>
        <w:widowControl/>
        <w:numPr>
          <w:ilvl w:val="0"/>
          <w:numId w:val="16"/>
        </w:numPr>
        <w:tabs>
          <w:tab w:val="left" w:pos="1134"/>
        </w:tabs>
        <w:suppressAutoHyphens/>
        <w:spacing w:before="240" w:line="280" w:lineRule="atLeast"/>
        <w:ind w:left="1134" w:hanging="567"/>
        <w:jc w:val="both"/>
        <w:rPr>
          <w:rFonts w:ascii="Arial" w:hAnsi="Arial"/>
          <w:b/>
          <w:sz w:val="20"/>
        </w:rPr>
      </w:pPr>
      <w:r w:rsidRPr="005874BE">
        <w:rPr>
          <w:rFonts w:ascii="Arial" w:hAnsi="Arial"/>
          <w:b/>
          <w:sz w:val="20"/>
        </w:rPr>
        <w:t>South African</w:t>
      </w:r>
      <w:r w:rsidR="006E7233" w:rsidRPr="00F3162D">
        <w:rPr>
          <w:rFonts w:ascii="Arial" w:hAnsi="Arial"/>
          <w:b/>
          <w:sz w:val="20"/>
        </w:rPr>
        <w:t xml:space="preserve"> usage</w:t>
      </w:r>
      <w:r w:rsidR="006E7233" w:rsidRPr="002E5DB7">
        <w:rPr>
          <w:rFonts w:ascii="Arial" w:hAnsi="Arial"/>
          <w:b/>
          <w:sz w:val="20"/>
        </w:rPr>
        <w:t xml:space="preserve"> of each formulation for the review period</w:t>
      </w:r>
    </w:p>
    <w:p w:rsidR="006E7233" w:rsidRPr="002E5DB7" w:rsidRDefault="006E7233" w:rsidP="00C75E97">
      <w:pPr>
        <w:widowControl/>
        <w:suppressAutoHyphens/>
        <w:spacing w:before="120" w:line="280" w:lineRule="atLeast"/>
        <w:ind w:left="1134"/>
        <w:jc w:val="both"/>
        <w:rPr>
          <w:rFonts w:ascii="Arial" w:hAnsi="Arial"/>
          <w:sz w:val="20"/>
        </w:rPr>
      </w:pPr>
      <w:r w:rsidRPr="002E5DB7">
        <w:rPr>
          <w:rFonts w:ascii="Arial" w:hAnsi="Arial"/>
          <w:sz w:val="20"/>
        </w:rPr>
        <w:t>This may be sales data or patient exposure.</w:t>
      </w:r>
    </w:p>
    <w:p w:rsidR="006E7233" w:rsidRDefault="006E7233" w:rsidP="00C75E97">
      <w:pPr>
        <w:widowControl/>
        <w:numPr>
          <w:ilvl w:val="0"/>
          <w:numId w:val="16"/>
        </w:numPr>
        <w:tabs>
          <w:tab w:val="left" w:pos="1134"/>
        </w:tabs>
        <w:suppressAutoHyphens/>
        <w:spacing w:before="240" w:line="280" w:lineRule="atLeast"/>
        <w:ind w:left="1134" w:hanging="567"/>
        <w:jc w:val="both"/>
        <w:rPr>
          <w:rFonts w:ascii="Arial" w:hAnsi="Arial"/>
          <w:b/>
          <w:sz w:val="20"/>
        </w:rPr>
      </w:pPr>
      <w:r w:rsidRPr="002E5DB7">
        <w:rPr>
          <w:rFonts w:ascii="Arial" w:hAnsi="Arial"/>
          <w:b/>
          <w:sz w:val="20"/>
        </w:rPr>
        <w:t xml:space="preserve">Critical (concise) analysis of </w:t>
      </w:r>
      <w:r w:rsidR="00922313" w:rsidRPr="00250E43">
        <w:rPr>
          <w:rFonts w:ascii="Arial" w:hAnsi="Arial"/>
          <w:b/>
          <w:sz w:val="20"/>
        </w:rPr>
        <w:t>all</w:t>
      </w:r>
      <w:r w:rsidR="00982BEB">
        <w:rPr>
          <w:rFonts w:ascii="Arial" w:hAnsi="Arial"/>
          <w:b/>
          <w:sz w:val="20"/>
        </w:rPr>
        <w:t xml:space="preserve"> </w:t>
      </w:r>
      <w:r w:rsidRPr="002E5DB7">
        <w:rPr>
          <w:rFonts w:ascii="Arial" w:hAnsi="Arial"/>
          <w:b/>
          <w:sz w:val="20"/>
        </w:rPr>
        <w:t>the repo</w:t>
      </w:r>
      <w:r w:rsidR="00CC0054">
        <w:rPr>
          <w:rFonts w:ascii="Arial" w:hAnsi="Arial"/>
          <w:b/>
          <w:sz w:val="20"/>
        </w:rPr>
        <w:t>rted ADRs for each medicine</w:t>
      </w:r>
    </w:p>
    <w:p w:rsidR="00CC0054" w:rsidRPr="00CC0054" w:rsidRDefault="00CC0054" w:rsidP="00C75E97">
      <w:pPr>
        <w:widowControl/>
        <w:tabs>
          <w:tab w:val="left" w:pos="1247"/>
        </w:tabs>
        <w:suppressAutoHyphens/>
        <w:spacing w:before="120" w:line="280" w:lineRule="atLeast"/>
        <w:ind w:left="567"/>
        <w:jc w:val="both"/>
        <w:rPr>
          <w:rFonts w:ascii="Arial" w:hAnsi="Arial"/>
          <w:sz w:val="20"/>
        </w:rPr>
      </w:pPr>
      <w:r w:rsidRPr="00CC0054">
        <w:rPr>
          <w:rFonts w:ascii="Arial" w:hAnsi="Arial"/>
          <w:sz w:val="20"/>
        </w:rPr>
        <w:t>3.1</w:t>
      </w:r>
      <w:r w:rsidRPr="00CC0054">
        <w:rPr>
          <w:rFonts w:ascii="Arial" w:hAnsi="Arial"/>
          <w:sz w:val="20"/>
        </w:rPr>
        <w:tab/>
      </w:r>
      <w:r>
        <w:rPr>
          <w:rFonts w:ascii="Arial" w:hAnsi="Arial"/>
          <w:sz w:val="20"/>
        </w:rPr>
        <w:t>New ADRs identified</w:t>
      </w:r>
    </w:p>
    <w:p w:rsidR="006E7233" w:rsidRPr="002E5DB7" w:rsidRDefault="006E7233" w:rsidP="00C75E97">
      <w:pPr>
        <w:widowControl/>
        <w:suppressAutoHyphens/>
        <w:spacing w:before="80" w:line="280" w:lineRule="atLeast"/>
        <w:ind w:left="1247"/>
        <w:jc w:val="both"/>
        <w:rPr>
          <w:rFonts w:ascii="Arial" w:hAnsi="Arial"/>
          <w:sz w:val="20"/>
        </w:rPr>
      </w:pPr>
      <w:r w:rsidRPr="002E5DB7">
        <w:rPr>
          <w:rFonts w:ascii="Arial" w:hAnsi="Arial"/>
          <w:sz w:val="20"/>
        </w:rPr>
        <w:t>Indicate whether any new ADRs have been identified and whether such are serious or non-serious</w:t>
      </w:r>
      <w:r w:rsidR="008F5EAF">
        <w:rPr>
          <w:rFonts w:ascii="Arial" w:hAnsi="Arial"/>
          <w:sz w:val="20"/>
        </w:rPr>
        <w:t>.</w:t>
      </w:r>
    </w:p>
    <w:p w:rsidR="006E7233" w:rsidRPr="002E5DB7" w:rsidRDefault="00CC0054" w:rsidP="00C75E97">
      <w:pPr>
        <w:widowControl/>
        <w:tabs>
          <w:tab w:val="left" w:pos="1247"/>
        </w:tabs>
        <w:suppressAutoHyphens/>
        <w:spacing w:before="120" w:line="280" w:lineRule="atLeast"/>
        <w:ind w:left="567"/>
        <w:jc w:val="both"/>
        <w:rPr>
          <w:rFonts w:ascii="Arial" w:hAnsi="Arial"/>
          <w:sz w:val="20"/>
        </w:rPr>
      </w:pPr>
      <w:r>
        <w:rPr>
          <w:rFonts w:ascii="Arial" w:hAnsi="Arial"/>
          <w:sz w:val="20"/>
        </w:rPr>
        <w:t>3.2</w:t>
      </w:r>
      <w:r>
        <w:rPr>
          <w:rFonts w:ascii="Arial" w:hAnsi="Arial"/>
          <w:sz w:val="20"/>
        </w:rPr>
        <w:tab/>
      </w:r>
      <w:r w:rsidR="006E7233" w:rsidRPr="002E5DB7">
        <w:rPr>
          <w:rFonts w:ascii="Arial" w:hAnsi="Arial"/>
          <w:sz w:val="20"/>
        </w:rPr>
        <w:t>New risk factors identified</w:t>
      </w:r>
    </w:p>
    <w:p w:rsidR="006E7233" w:rsidRPr="007831A0" w:rsidRDefault="00CC0054" w:rsidP="00C75E97">
      <w:pPr>
        <w:widowControl/>
        <w:tabs>
          <w:tab w:val="left" w:pos="1247"/>
        </w:tabs>
        <w:suppressAutoHyphens/>
        <w:spacing w:before="120" w:line="280" w:lineRule="atLeast"/>
        <w:ind w:left="567"/>
        <w:jc w:val="both"/>
        <w:rPr>
          <w:rFonts w:ascii="Arial" w:hAnsi="Arial"/>
          <w:sz w:val="20"/>
        </w:rPr>
      </w:pPr>
      <w:r>
        <w:rPr>
          <w:rFonts w:ascii="Arial" w:hAnsi="Arial"/>
          <w:sz w:val="20"/>
        </w:rPr>
        <w:t>3.3</w:t>
      </w:r>
      <w:r>
        <w:rPr>
          <w:rFonts w:ascii="Arial" w:hAnsi="Arial"/>
          <w:sz w:val="20"/>
        </w:rPr>
        <w:tab/>
      </w:r>
      <w:r w:rsidR="006E7233" w:rsidRPr="007831A0">
        <w:rPr>
          <w:rFonts w:ascii="Arial" w:hAnsi="Arial"/>
          <w:sz w:val="20"/>
        </w:rPr>
        <w:t>Changes in reporting rate</w:t>
      </w:r>
    </w:p>
    <w:p w:rsidR="006E7233" w:rsidRPr="007831A0" w:rsidRDefault="006E7233" w:rsidP="00C75E97">
      <w:pPr>
        <w:widowControl/>
        <w:suppressAutoHyphens/>
        <w:spacing w:before="80" w:line="280" w:lineRule="atLeast"/>
        <w:ind w:left="1247"/>
        <w:jc w:val="both"/>
        <w:rPr>
          <w:rFonts w:ascii="Arial" w:hAnsi="Arial"/>
          <w:sz w:val="20"/>
        </w:rPr>
      </w:pPr>
      <w:r w:rsidRPr="007831A0">
        <w:rPr>
          <w:rFonts w:ascii="Arial" w:hAnsi="Arial"/>
          <w:sz w:val="20"/>
        </w:rPr>
        <w:t xml:space="preserve">Any changes in reporting rate(s) of ADRs reported in a comparable period, using estimated </w:t>
      </w:r>
      <w:r w:rsidR="0066513C" w:rsidRPr="007831A0">
        <w:rPr>
          <w:rFonts w:ascii="Arial" w:hAnsi="Arial"/>
          <w:sz w:val="20"/>
        </w:rPr>
        <w:t xml:space="preserve">South African </w:t>
      </w:r>
      <w:r w:rsidRPr="007831A0">
        <w:rPr>
          <w:rFonts w:ascii="Arial" w:hAnsi="Arial"/>
          <w:sz w:val="20"/>
        </w:rPr>
        <w:t>exposure of the medicine, and with reference to international and cumulative data</w:t>
      </w:r>
      <w:r w:rsidR="008F5EAF" w:rsidRPr="007831A0">
        <w:rPr>
          <w:rFonts w:ascii="Arial" w:hAnsi="Arial"/>
          <w:sz w:val="20"/>
        </w:rPr>
        <w:t>.</w:t>
      </w:r>
    </w:p>
    <w:p w:rsidR="006E7233" w:rsidRPr="007831A0" w:rsidRDefault="00CC0054" w:rsidP="00C75E97">
      <w:pPr>
        <w:widowControl/>
        <w:tabs>
          <w:tab w:val="left" w:pos="1247"/>
        </w:tabs>
        <w:suppressAutoHyphens/>
        <w:spacing w:before="120" w:line="280" w:lineRule="atLeast"/>
        <w:ind w:left="567"/>
        <w:jc w:val="both"/>
        <w:rPr>
          <w:rFonts w:ascii="Arial" w:hAnsi="Arial"/>
          <w:sz w:val="20"/>
        </w:rPr>
      </w:pPr>
      <w:r w:rsidRPr="007831A0">
        <w:rPr>
          <w:rFonts w:ascii="Arial" w:hAnsi="Arial"/>
          <w:sz w:val="20"/>
        </w:rPr>
        <w:t>3.4</w:t>
      </w:r>
      <w:r w:rsidRPr="007831A0">
        <w:rPr>
          <w:rFonts w:ascii="Arial" w:hAnsi="Arial"/>
          <w:sz w:val="20"/>
        </w:rPr>
        <w:tab/>
      </w:r>
      <w:r w:rsidR="006E7233" w:rsidRPr="007831A0">
        <w:rPr>
          <w:rFonts w:ascii="Arial" w:hAnsi="Arial"/>
          <w:sz w:val="20"/>
        </w:rPr>
        <w:t>Other new safety issues</w:t>
      </w:r>
    </w:p>
    <w:p w:rsidR="006E7233" w:rsidRPr="007831A0" w:rsidRDefault="006E7233" w:rsidP="00C75E97">
      <w:pPr>
        <w:widowControl/>
        <w:suppressAutoHyphens/>
        <w:spacing w:before="80" w:line="280" w:lineRule="atLeast"/>
        <w:ind w:left="1247"/>
        <w:jc w:val="both"/>
        <w:rPr>
          <w:rFonts w:ascii="Arial" w:hAnsi="Arial"/>
          <w:sz w:val="20"/>
        </w:rPr>
      </w:pPr>
      <w:r w:rsidRPr="007831A0">
        <w:rPr>
          <w:rFonts w:ascii="Arial" w:hAnsi="Arial"/>
          <w:sz w:val="20"/>
        </w:rPr>
        <w:t>This includes any new safety issue related to drug interactions, overdose, drug abuse or misuse, use in pregnancy, use in special patient groups or effects of long-term treatment, if not included in any of the above points</w:t>
      </w:r>
      <w:r w:rsidR="008F5EAF" w:rsidRPr="007831A0">
        <w:rPr>
          <w:rFonts w:ascii="Arial" w:hAnsi="Arial"/>
          <w:sz w:val="20"/>
        </w:rPr>
        <w:t>.</w:t>
      </w:r>
    </w:p>
    <w:p w:rsidR="006E7233" w:rsidRPr="007831A0" w:rsidRDefault="00CC0054" w:rsidP="00C75E97">
      <w:pPr>
        <w:widowControl/>
        <w:tabs>
          <w:tab w:val="left" w:pos="1247"/>
        </w:tabs>
        <w:suppressAutoHyphens/>
        <w:spacing w:before="120" w:line="280" w:lineRule="atLeast"/>
        <w:ind w:left="567"/>
        <w:jc w:val="both"/>
        <w:rPr>
          <w:rFonts w:ascii="Arial" w:hAnsi="Arial"/>
          <w:sz w:val="20"/>
        </w:rPr>
      </w:pPr>
      <w:r w:rsidRPr="007831A0">
        <w:rPr>
          <w:rFonts w:ascii="Arial" w:hAnsi="Arial"/>
          <w:sz w:val="20"/>
        </w:rPr>
        <w:t>3.5</w:t>
      </w:r>
      <w:r w:rsidRPr="007831A0">
        <w:rPr>
          <w:rFonts w:ascii="Arial" w:hAnsi="Arial"/>
          <w:sz w:val="20"/>
        </w:rPr>
        <w:tab/>
      </w:r>
      <w:r w:rsidR="006E7233" w:rsidRPr="007831A0">
        <w:rPr>
          <w:rFonts w:ascii="Arial" w:hAnsi="Arial"/>
          <w:sz w:val="20"/>
        </w:rPr>
        <w:t>Actions taken or to be taken</w:t>
      </w:r>
    </w:p>
    <w:p w:rsidR="006E7233" w:rsidRPr="007831A0" w:rsidRDefault="006E7233" w:rsidP="00C75E97">
      <w:pPr>
        <w:widowControl/>
        <w:suppressAutoHyphens/>
        <w:spacing w:before="80" w:line="280" w:lineRule="atLeast"/>
        <w:ind w:left="1247"/>
        <w:jc w:val="both"/>
        <w:rPr>
          <w:rFonts w:ascii="Arial" w:hAnsi="Arial"/>
          <w:sz w:val="20"/>
        </w:rPr>
      </w:pPr>
      <w:r w:rsidRPr="007831A0">
        <w:rPr>
          <w:rFonts w:ascii="Arial" w:hAnsi="Arial"/>
          <w:sz w:val="20"/>
        </w:rPr>
        <w:t>This includes actions taken or to be taken by any other regulatory authority or marketing authorisation holder (includes the local</w:t>
      </w:r>
      <w:r w:rsidR="00CA2021" w:rsidRPr="007831A0">
        <w:rPr>
          <w:rFonts w:ascii="Arial" w:hAnsi="Arial"/>
          <w:sz w:val="20"/>
        </w:rPr>
        <w:t xml:space="preserve"> holder of a certificate of registration</w:t>
      </w:r>
      <w:r w:rsidR="008F5EAF" w:rsidRPr="007831A0">
        <w:rPr>
          <w:rFonts w:ascii="Arial" w:hAnsi="Arial"/>
          <w:sz w:val="20"/>
        </w:rPr>
        <w:t xml:space="preserve"> / applicant</w:t>
      </w:r>
      <w:r w:rsidRPr="007831A0">
        <w:rPr>
          <w:rFonts w:ascii="Arial" w:hAnsi="Arial"/>
          <w:sz w:val="20"/>
        </w:rPr>
        <w:t>)</w:t>
      </w:r>
      <w:r w:rsidR="008F5EAF" w:rsidRPr="007831A0">
        <w:rPr>
          <w:rFonts w:ascii="Arial" w:hAnsi="Arial"/>
          <w:sz w:val="20"/>
        </w:rPr>
        <w:t>.</w:t>
      </w:r>
    </w:p>
    <w:p w:rsidR="006E7233" w:rsidRPr="007831A0" w:rsidRDefault="006E7233" w:rsidP="00C75E97">
      <w:pPr>
        <w:widowControl/>
        <w:numPr>
          <w:ilvl w:val="0"/>
          <w:numId w:val="16"/>
        </w:numPr>
        <w:tabs>
          <w:tab w:val="left" w:pos="1134"/>
        </w:tabs>
        <w:suppressAutoHyphens/>
        <w:spacing w:before="240" w:line="280" w:lineRule="atLeast"/>
        <w:ind w:left="1134" w:hanging="567"/>
        <w:jc w:val="both"/>
        <w:rPr>
          <w:rFonts w:ascii="Arial" w:hAnsi="Arial"/>
          <w:b/>
          <w:sz w:val="20"/>
        </w:rPr>
      </w:pPr>
      <w:r w:rsidRPr="007831A0">
        <w:rPr>
          <w:rFonts w:ascii="Arial" w:hAnsi="Arial"/>
          <w:b/>
          <w:sz w:val="20"/>
        </w:rPr>
        <w:t>Conclusion</w:t>
      </w:r>
    </w:p>
    <w:p w:rsidR="006E7233" w:rsidRPr="007831A0" w:rsidRDefault="006E7233" w:rsidP="00C75E97">
      <w:pPr>
        <w:widowControl/>
        <w:suppressAutoHyphens/>
        <w:spacing w:before="120" w:line="280" w:lineRule="atLeast"/>
        <w:ind w:left="1134"/>
        <w:jc w:val="both"/>
        <w:rPr>
          <w:rFonts w:ascii="Arial" w:hAnsi="Arial"/>
          <w:sz w:val="20"/>
        </w:rPr>
      </w:pPr>
      <w:r w:rsidRPr="007831A0">
        <w:rPr>
          <w:rFonts w:ascii="Arial" w:hAnsi="Arial"/>
          <w:sz w:val="20"/>
        </w:rPr>
        <w:t>A simple risk-benefit statement for ongoing use and monitoring of the medicine is required.</w:t>
      </w:r>
    </w:p>
    <w:p w:rsidR="006E7233" w:rsidRPr="007831A0" w:rsidRDefault="006E7233" w:rsidP="00C75E97">
      <w:pPr>
        <w:widowControl/>
        <w:numPr>
          <w:ilvl w:val="0"/>
          <w:numId w:val="16"/>
        </w:numPr>
        <w:tabs>
          <w:tab w:val="left" w:pos="1134"/>
        </w:tabs>
        <w:suppressAutoHyphens/>
        <w:spacing w:before="240" w:line="280" w:lineRule="atLeast"/>
        <w:ind w:left="1134" w:hanging="567"/>
        <w:jc w:val="both"/>
        <w:rPr>
          <w:rFonts w:ascii="Arial" w:hAnsi="Arial"/>
          <w:b/>
          <w:sz w:val="20"/>
        </w:rPr>
      </w:pPr>
      <w:r w:rsidRPr="007831A0">
        <w:rPr>
          <w:rFonts w:ascii="Arial" w:hAnsi="Arial"/>
          <w:b/>
          <w:sz w:val="20"/>
        </w:rPr>
        <w:t>Line-listing</w:t>
      </w:r>
    </w:p>
    <w:p w:rsidR="006E7233" w:rsidRPr="002E5DB7" w:rsidRDefault="006E7233" w:rsidP="00C75E97">
      <w:pPr>
        <w:widowControl/>
        <w:suppressAutoHyphens/>
        <w:spacing w:before="120" w:line="280" w:lineRule="atLeast"/>
        <w:ind w:left="1134"/>
        <w:jc w:val="both"/>
        <w:rPr>
          <w:rFonts w:ascii="Arial" w:hAnsi="Arial"/>
          <w:sz w:val="20"/>
        </w:rPr>
      </w:pPr>
      <w:r w:rsidRPr="007831A0">
        <w:rPr>
          <w:rFonts w:ascii="Arial" w:hAnsi="Arial"/>
          <w:sz w:val="20"/>
        </w:rPr>
        <w:t>The line listing should include the source, patient gender and age, formulation (including strength), daily dose, treatment dates and duration or time to onset, adverse reaction(s), seriousness, outcome and comment (including medical history and concomitant medicines). Reports received from</w:t>
      </w:r>
      <w:r w:rsidRPr="002E5DB7">
        <w:rPr>
          <w:rFonts w:ascii="Arial" w:hAnsi="Arial"/>
          <w:sz w:val="20"/>
        </w:rPr>
        <w:t xml:space="preserve"> a consumer should be clearly identified.</w:t>
      </w:r>
    </w:p>
    <w:p w:rsidR="005470A1" w:rsidRPr="005470A1" w:rsidRDefault="005470A1" w:rsidP="00C75E97">
      <w:pPr>
        <w:widowControl/>
        <w:tabs>
          <w:tab w:val="left" w:pos="1134"/>
        </w:tabs>
        <w:suppressAutoHyphens/>
        <w:ind w:left="567"/>
        <w:jc w:val="both"/>
        <w:rPr>
          <w:rFonts w:ascii="Arial" w:hAnsi="Arial"/>
          <w:b/>
          <w:i/>
          <w:sz w:val="16"/>
          <w:szCs w:val="16"/>
        </w:rPr>
      </w:pPr>
      <w:r>
        <w:rPr>
          <w:rFonts w:ascii="Arial" w:hAnsi="Arial"/>
          <w:sz w:val="20"/>
        </w:rPr>
        <w:br w:type="page"/>
      </w:r>
    </w:p>
    <w:p w:rsidR="006E7233" w:rsidRPr="002E5DB7" w:rsidRDefault="006E7233" w:rsidP="00C75E97">
      <w:pPr>
        <w:widowControl/>
        <w:suppressAutoHyphens/>
        <w:spacing w:before="120" w:line="280" w:lineRule="atLeast"/>
        <w:ind w:left="1134"/>
        <w:jc w:val="both"/>
        <w:rPr>
          <w:rFonts w:ascii="Arial" w:hAnsi="Arial"/>
          <w:sz w:val="20"/>
        </w:rPr>
      </w:pPr>
      <w:r w:rsidRPr="002E5DB7">
        <w:rPr>
          <w:rFonts w:ascii="Arial" w:hAnsi="Arial"/>
          <w:sz w:val="20"/>
        </w:rPr>
        <w:lastRenderedPageBreak/>
        <w:t>Depending on the medicine or circumstances, it may be useful or practical to have more than one line-listing, such as dosage forms or indications, if such differentiation facilitates presentation and interpretation of data. It may also be useful to have separate tabulations for serious reactions and for non-serious reactions, for expected and unexpected reactions, or any other breakdown as may be u</w:t>
      </w:r>
      <w:r w:rsidR="001A4723">
        <w:rPr>
          <w:rFonts w:ascii="Arial" w:hAnsi="Arial"/>
          <w:sz w:val="20"/>
        </w:rPr>
        <w:t xml:space="preserve">seful for interpretation of </w:t>
      </w:r>
      <w:r w:rsidRPr="002E5DB7">
        <w:rPr>
          <w:rFonts w:ascii="Arial" w:hAnsi="Arial"/>
          <w:sz w:val="20"/>
        </w:rPr>
        <w:t>data. When the number of cases is very small, or the information is inadequate for any of the tabulations, a narrative description rather than a formal table would be considered suitable.</w:t>
      </w:r>
    </w:p>
    <w:p w:rsidR="006E7233" w:rsidRDefault="006E7233" w:rsidP="00C75E97">
      <w:pPr>
        <w:widowControl/>
        <w:suppressAutoHyphens/>
        <w:spacing w:before="120" w:line="280" w:lineRule="atLeast"/>
        <w:ind w:left="1134"/>
        <w:jc w:val="both"/>
        <w:rPr>
          <w:rFonts w:ascii="Arial" w:hAnsi="Arial"/>
          <w:sz w:val="20"/>
        </w:rPr>
      </w:pPr>
      <w:r w:rsidRPr="002E5DB7">
        <w:rPr>
          <w:rFonts w:ascii="Arial" w:hAnsi="Arial"/>
          <w:sz w:val="20"/>
        </w:rPr>
        <w:t xml:space="preserve">The line-listing </w:t>
      </w:r>
      <w:r w:rsidRPr="007831A0">
        <w:rPr>
          <w:rFonts w:ascii="Arial" w:hAnsi="Arial"/>
          <w:sz w:val="20"/>
        </w:rPr>
        <w:t xml:space="preserve">should include all South African spontaneous reports (serious and non-serious) received by the </w:t>
      </w:r>
      <w:r w:rsidR="00C75E97" w:rsidRPr="007831A0">
        <w:rPr>
          <w:rFonts w:ascii="Arial" w:hAnsi="Arial"/>
          <w:sz w:val="20"/>
        </w:rPr>
        <w:t xml:space="preserve">holder </w:t>
      </w:r>
      <w:r w:rsidR="00627E8F" w:rsidRPr="007831A0">
        <w:rPr>
          <w:rFonts w:ascii="Arial" w:hAnsi="Arial"/>
          <w:sz w:val="20"/>
        </w:rPr>
        <w:t xml:space="preserve">or </w:t>
      </w:r>
      <w:r w:rsidR="008D61E7" w:rsidRPr="007831A0">
        <w:rPr>
          <w:rFonts w:ascii="Arial" w:hAnsi="Arial"/>
          <w:sz w:val="20"/>
        </w:rPr>
        <w:t>applicant</w:t>
      </w:r>
      <w:r w:rsidR="00982BEB">
        <w:rPr>
          <w:rFonts w:ascii="Arial" w:hAnsi="Arial"/>
          <w:sz w:val="20"/>
        </w:rPr>
        <w:t xml:space="preserve"> </w:t>
      </w:r>
      <w:r w:rsidRPr="002E5DB7">
        <w:rPr>
          <w:rFonts w:ascii="Arial" w:hAnsi="Arial"/>
          <w:sz w:val="20"/>
        </w:rPr>
        <w:t>during the specified 12-month period, all published reports of suspected ADRs, all lack of efficacy reports, and all reports from post-marketing studies (published and unpublished).</w:t>
      </w:r>
    </w:p>
    <w:p w:rsidR="008F5EAF" w:rsidRDefault="008F5EAF">
      <w:pPr>
        <w:widowControl/>
        <w:rPr>
          <w:rFonts w:ascii="Arial" w:hAnsi="Arial"/>
          <w:b/>
          <w:color w:val="000000"/>
          <w:sz w:val="20"/>
        </w:rPr>
      </w:pPr>
      <w:bookmarkStart w:id="114" w:name="_Toc396005437"/>
      <w:r>
        <w:br w:type="page"/>
      </w:r>
    </w:p>
    <w:p w:rsidR="00760E87" w:rsidRPr="00E52DF5" w:rsidRDefault="00760E87" w:rsidP="00DA45F3">
      <w:pPr>
        <w:pStyle w:val="Heading1"/>
        <w:spacing w:before="0"/>
      </w:pPr>
      <w:bookmarkStart w:id="115" w:name="_Toc5282813"/>
      <w:r w:rsidRPr="00E52DF5">
        <w:lastRenderedPageBreak/>
        <w:t>8</w:t>
      </w:r>
      <w:r w:rsidRPr="00E52DF5">
        <w:tab/>
      </w:r>
      <w:bookmarkStart w:id="116" w:name="Glossary"/>
      <w:bookmarkEnd w:id="116"/>
      <w:r w:rsidRPr="00E52DF5">
        <w:t>GLOSSARY AND ABBREVIATIONS</w:t>
      </w:r>
      <w:bookmarkEnd w:id="114"/>
      <w:bookmarkEnd w:id="115"/>
    </w:p>
    <w:p w:rsidR="005A01F0" w:rsidRDefault="005A01F0" w:rsidP="008F5EAF">
      <w:pPr>
        <w:widowControl/>
        <w:tabs>
          <w:tab w:val="left" w:pos="2268"/>
        </w:tabs>
        <w:suppressAutoHyphens/>
        <w:spacing w:before="60" w:line="280" w:lineRule="atLeast"/>
        <w:ind w:left="567"/>
        <w:rPr>
          <w:rFonts w:ascii="Arial" w:hAnsi="Arial"/>
          <w:sz w:val="20"/>
        </w:rPr>
      </w:pPr>
      <w:r>
        <w:rPr>
          <w:rFonts w:ascii="Arial" w:hAnsi="Arial"/>
          <w:sz w:val="20"/>
        </w:rPr>
        <w:t>ADRS</w:t>
      </w:r>
      <w:r>
        <w:rPr>
          <w:rFonts w:ascii="Arial" w:hAnsi="Arial"/>
          <w:sz w:val="20"/>
        </w:rPr>
        <w:tab/>
        <w:t>Adverse Drug Reaction</w:t>
      </w:r>
    </w:p>
    <w:p w:rsidR="00651C20" w:rsidRPr="00250E43" w:rsidRDefault="00651C20" w:rsidP="008F5EAF">
      <w:pPr>
        <w:widowControl/>
        <w:tabs>
          <w:tab w:val="left" w:pos="2268"/>
        </w:tabs>
        <w:suppressAutoHyphens/>
        <w:spacing w:before="60" w:line="280" w:lineRule="atLeast"/>
        <w:ind w:left="567"/>
        <w:rPr>
          <w:rFonts w:ascii="Arial" w:hAnsi="Arial"/>
          <w:sz w:val="20"/>
        </w:rPr>
      </w:pPr>
      <w:r w:rsidRPr="00250E43">
        <w:rPr>
          <w:rFonts w:ascii="Arial" w:hAnsi="Arial"/>
          <w:sz w:val="20"/>
        </w:rPr>
        <w:t>AE</w:t>
      </w:r>
      <w:r w:rsidRPr="00250E43">
        <w:rPr>
          <w:rFonts w:ascii="Arial" w:hAnsi="Arial"/>
          <w:sz w:val="20"/>
        </w:rPr>
        <w:tab/>
        <w:t>Adverse Event</w:t>
      </w:r>
    </w:p>
    <w:p w:rsidR="00546119" w:rsidRPr="007831A0" w:rsidRDefault="00546119" w:rsidP="008F5EAF">
      <w:pPr>
        <w:widowControl/>
        <w:tabs>
          <w:tab w:val="left" w:pos="2268"/>
        </w:tabs>
        <w:suppressAutoHyphens/>
        <w:spacing w:before="60" w:line="280" w:lineRule="atLeast"/>
        <w:ind w:left="567"/>
        <w:rPr>
          <w:rFonts w:ascii="Arial" w:hAnsi="Arial" w:cs="Arial"/>
          <w:sz w:val="20"/>
        </w:rPr>
      </w:pPr>
      <w:r w:rsidRPr="007831A0">
        <w:rPr>
          <w:rFonts w:ascii="Arial" w:hAnsi="Arial"/>
          <w:sz w:val="20"/>
        </w:rPr>
        <w:t xml:space="preserve">CIOMS </w:t>
      </w:r>
      <w:r w:rsidRPr="007831A0">
        <w:rPr>
          <w:rFonts w:ascii="Arial" w:hAnsi="Arial"/>
          <w:sz w:val="20"/>
        </w:rPr>
        <w:tab/>
        <w:t>Council for International Organisations of Medical Science</w:t>
      </w:r>
    </w:p>
    <w:p w:rsidR="008F5EAF" w:rsidRPr="007831A0" w:rsidRDefault="008F5EAF" w:rsidP="008F5EAF">
      <w:pPr>
        <w:widowControl/>
        <w:tabs>
          <w:tab w:val="left" w:pos="2268"/>
        </w:tabs>
        <w:suppressAutoHyphens/>
        <w:spacing w:before="60" w:line="280" w:lineRule="atLeast"/>
        <w:ind w:left="567"/>
        <w:rPr>
          <w:rFonts w:ascii="Arial" w:hAnsi="Arial" w:cs="Arial"/>
          <w:sz w:val="20"/>
        </w:rPr>
      </w:pPr>
      <w:r w:rsidRPr="007831A0">
        <w:rPr>
          <w:rFonts w:ascii="Arial" w:hAnsi="Arial" w:cs="Arial"/>
          <w:sz w:val="20"/>
        </w:rPr>
        <w:t>HCR</w:t>
      </w:r>
      <w:r w:rsidRPr="007831A0">
        <w:rPr>
          <w:rFonts w:ascii="Arial" w:hAnsi="Arial" w:cs="Arial"/>
          <w:sz w:val="20"/>
        </w:rPr>
        <w:tab/>
        <w:t>Holder of Certificate of Registration</w:t>
      </w:r>
    </w:p>
    <w:p w:rsidR="00760E87" w:rsidRPr="00FF3F31" w:rsidRDefault="00643E0E" w:rsidP="009711BC">
      <w:pPr>
        <w:widowControl/>
        <w:tabs>
          <w:tab w:val="left" w:pos="2268"/>
        </w:tabs>
        <w:suppressAutoHyphens/>
        <w:spacing w:before="60" w:line="280" w:lineRule="atLeast"/>
        <w:ind w:left="567"/>
        <w:rPr>
          <w:rFonts w:ascii="Arial" w:hAnsi="Arial" w:cs="Arial"/>
          <w:strike/>
          <w:sz w:val="20"/>
        </w:rPr>
      </w:pPr>
      <w:r w:rsidRPr="007831A0">
        <w:rPr>
          <w:rFonts w:ascii="Arial" w:hAnsi="Arial" w:cs="Arial"/>
          <w:sz w:val="20"/>
        </w:rPr>
        <w:t>ICSR</w:t>
      </w:r>
      <w:r w:rsidRPr="007831A0">
        <w:rPr>
          <w:rFonts w:ascii="Arial" w:hAnsi="Arial" w:cs="Arial"/>
          <w:sz w:val="20"/>
        </w:rPr>
        <w:tab/>
        <w:t>Individual case safety report</w:t>
      </w:r>
    </w:p>
    <w:p w:rsidR="00760E87" w:rsidRDefault="00760E87" w:rsidP="009711BC">
      <w:pPr>
        <w:widowControl/>
        <w:tabs>
          <w:tab w:val="left" w:pos="2268"/>
        </w:tabs>
        <w:suppressAutoHyphens/>
        <w:spacing w:before="60" w:line="280" w:lineRule="atLeast"/>
        <w:ind w:left="567"/>
        <w:rPr>
          <w:rFonts w:ascii="Arial" w:hAnsi="Arial" w:cs="Arial"/>
          <w:sz w:val="20"/>
        </w:rPr>
      </w:pPr>
      <w:r>
        <w:rPr>
          <w:rFonts w:ascii="Arial" w:hAnsi="Arial" w:cs="Arial"/>
          <w:sz w:val="20"/>
        </w:rPr>
        <w:t>NADEMC</w:t>
      </w:r>
      <w:r>
        <w:rPr>
          <w:rFonts w:ascii="Arial" w:hAnsi="Arial" w:cs="Arial"/>
          <w:sz w:val="20"/>
        </w:rPr>
        <w:tab/>
        <w:t>National Adverse Drug Event Monitoring Centre</w:t>
      </w:r>
    </w:p>
    <w:p w:rsidR="00760E87" w:rsidRDefault="00760E87" w:rsidP="009711BC">
      <w:pPr>
        <w:widowControl/>
        <w:tabs>
          <w:tab w:val="left" w:pos="2268"/>
        </w:tabs>
        <w:suppressAutoHyphens/>
        <w:spacing w:before="60" w:line="280" w:lineRule="atLeast"/>
        <w:ind w:left="567"/>
        <w:rPr>
          <w:rFonts w:ascii="Arial" w:hAnsi="Arial" w:cs="Arial"/>
          <w:sz w:val="20"/>
        </w:rPr>
      </w:pPr>
      <w:r>
        <w:rPr>
          <w:rFonts w:ascii="Arial" w:hAnsi="Arial" w:cs="Arial"/>
          <w:sz w:val="20"/>
        </w:rPr>
        <w:t>PBRER</w:t>
      </w:r>
      <w:r>
        <w:rPr>
          <w:rFonts w:ascii="Arial" w:hAnsi="Arial" w:cs="Arial"/>
          <w:sz w:val="20"/>
        </w:rPr>
        <w:tab/>
        <w:t>Periodic Benefit-Risk Evaluation Report</w:t>
      </w:r>
    </w:p>
    <w:p w:rsidR="00760E87" w:rsidRDefault="00760E87" w:rsidP="009711BC">
      <w:pPr>
        <w:widowControl/>
        <w:tabs>
          <w:tab w:val="left" w:pos="2268"/>
        </w:tabs>
        <w:suppressAutoHyphens/>
        <w:spacing w:before="60" w:line="280" w:lineRule="atLeast"/>
        <w:ind w:left="567"/>
        <w:rPr>
          <w:rFonts w:ascii="Arial" w:hAnsi="Arial" w:cs="Arial"/>
          <w:sz w:val="20"/>
        </w:rPr>
      </w:pPr>
      <w:r>
        <w:rPr>
          <w:rFonts w:ascii="Arial" w:hAnsi="Arial" w:cs="Arial"/>
          <w:sz w:val="20"/>
        </w:rPr>
        <w:t>PSUR</w:t>
      </w:r>
      <w:r>
        <w:rPr>
          <w:rFonts w:ascii="Arial" w:hAnsi="Arial" w:cs="Arial"/>
          <w:sz w:val="20"/>
        </w:rPr>
        <w:tab/>
        <w:t>Periodic Safety Update Report</w:t>
      </w:r>
    </w:p>
    <w:p w:rsidR="00F61002" w:rsidRDefault="00F61002" w:rsidP="009711BC">
      <w:pPr>
        <w:widowControl/>
        <w:tabs>
          <w:tab w:val="left" w:pos="2268"/>
        </w:tabs>
        <w:suppressAutoHyphens/>
        <w:spacing w:before="60" w:line="280" w:lineRule="atLeast"/>
        <w:ind w:left="567"/>
        <w:rPr>
          <w:rFonts w:ascii="Arial" w:hAnsi="Arial" w:cs="Arial"/>
          <w:sz w:val="20"/>
        </w:rPr>
      </w:pPr>
      <w:r>
        <w:rPr>
          <w:rFonts w:ascii="Arial" w:hAnsi="Arial" w:cs="Arial"/>
          <w:sz w:val="20"/>
        </w:rPr>
        <w:t>SA</w:t>
      </w:r>
      <w:r>
        <w:rPr>
          <w:rFonts w:ascii="Arial" w:hAnsi="Arial" w:cs="Arial"/>
          <w:sz w:val="20"/>
        </w:rPr>
        <w:tab/>
        <w:t>South Africa</w:t>
      </w:r>
    </w:p>
    <w:p w:rsidR="000D116A" w:rsidRDefault="00FF3F31" w:rsidP="009711BC">
      <w:pPr>
        <w:widowControl/>
        <w:tabs>
          <w:tab w:val="left" w:pos="2268"/>
        </w:tabs>
        <w:suppressAutoHyphens/>
        <w:spacing w:before="60" w:line="280" w:lineRule="atLeast"/>
        <w:ind w:left="567"/>
        <w:rPr>
          <w:rFonts w:ascii="Arial" w:hAnsi="Arial" w:cs="Arial"/>
          <w:sz w:val="20"/>
        </w:rPr>
      </w:pPr>
      <w:r>
        <w:rPr>
          <w:rFonts w:ascii="Arial" w:hAnsi="Arial" w:cs="Arial"/>
          <w:sz w:val="20"/>
        </w:rPr>
        <w:t>SAHPRA</w:t>
      </w:r>
      <w:r>
        <w:rPr>
          <w:rFonts w:ascii="Arial" w:hAnsi="Arial" w:cs="Arial"/>
          <w:sz w:val="20"/>
        </w:rPr>
        <w:tab/>
        <w:t>South African Health Products Regulatory Authority</w:t>
      </w:r>
    </w:p>
    <w:p w:rsidR="00760E87" w:rsidRDefault="00760E87" w:rsidP="009711BC">
      <w:pPr>
        <w:widowControl/>
        <w:tabs>
          <w:tab w:val="left" w:pos="2268"/>
        </w:tabs>
        <w:suppressAutoHyphens/>
        <w:spacing w:before="60" w:line="280" w:lineRule="atLeast"/>
        <w:ind w:left="567"/>
        <w:rPr>
          <w:rFonts w:ascii="Arial" w:hAnsi="Arial" w:cs="Arial"/>
          <w:sz w:val="20"/>
        </w:rPr>
      </w:pPr>
      <w:r>
        <w:rPr>
          <w:rFonts w:ascii="Arial" w:hAnsi="Arial" w:cs="Arial"/>
          <w:sz w:val="20"/>
        </w:rPr>
        <w:t>SR</w:t>
      </w:r>
      <w:r>
        <w:rPr>
          <w:rFonts w:ascii="Arial" w:hAnsi="Arial" w:cs="Arial"/>
          <w:sz w:val="20"/>
        </w:rPr>
        <w:tab/>
        <w:t>Summary Report</w:t>
      </w:r>
    </w:p>
    <w:p w:rsidR="00760E87" w:rsidRDefault="00C75E97" w:rsidP="0056753E">
      <w:pPr>
        <w:pStyle w:val="Heading1"/>
        <w:spacing w:after="120"/>
      </w:pPr>
      <w:bookmarkStart w:id="117" w:name="_Toc396005438"/>
      <w:r>
        <w:br w:type="page"/>
      </w:r>
      <w:bookmarkStart w:id="118" w:name="_Toc5282814"/>
      <w:r w:rsidR="00760E87">
        <w:lastRenderedPageBreak/>
        <w:t>9</w:t>
      </w:r>
      <w:r w:rsidR="00760E87">
        <w:tab/>
      </w:r>
      <w:bookmarkStart w:id="119" w:name="Update"/>
      <w:bookmarkEnd w:id="119"/>
      <w:r w:rsidR="00760E87">
        <w:t>UPDATE HISTORY</w:t>
      </w:r>
      <w:bookmarkEnd w:id="117"/>
      <w:bookmarkEnd w:id="118"/>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475"/>
        <w:gridCol w:w="2463"/>
      </w:tblGrid>
      <w:tr w:rsidR="00760E87" w:rsidRPr="00E453B3" w:rsidTr="00D41032">
        <w:trPr>
          <w:tblHeader/>
        </w:trPr>
        <w:tc>
          <w:tcPr>
            <w:tcW w:w="1551" w:type="dxa"/>
          </w:tcPr>
          <w:p w:rsidR="00760E87" w:rsidRPr="005D3179" w:rsidRDefault="00760E87" w:rsidP="00832319">
            <w:pPr>
              <w:widowControl/>
              <w:suppressAutoHyphens/>
              <w:spacing w:before="80" w:after="40"/>
              <w:jc w:val="both"/>
              <w:rPr>
                <w:rFonts w:ascii="Arial" w:hAnsi="Arial" w:cs="Arial"/>
                <w:b/>
                <w:sz w:val="20"/>
              </w:rPr>
            </w:pPr>
            <w:r w:rsidRPr="005D3179">
              <w:rPr>
                <w:rFonts w:ascii="Arial" w:hAnsi="Arial" w:cs="Arial"/>
                <w:b/>
                <w:sz w:val="20"/>
              </w:rPr>
              <w:t>Date</w:t>
            </w:r>
          </w:p>
        </w:tc>
        <w:tc>
          <w:tcPr>
            <w:tcW w:w="5623" w:type="dxa"/>
          </w:tcPr>
          <w:p w:rsidR="00760E87" w:rsidRPr="005D3179" w:rsidRDefault="00760E87" w:rsidP="00832319">
            <w:pPr>
              <w:widowControl/>
              <w:suppressAutoHyphens/>
              <w:spacing w:before="80" w:after="40"/>
              <w:jc w:val="both"/>
              <w:rPr>
                <w:rFonts w:ascii="Arial" w:hAnsi="Arial" w:cs="Arial"/>
                <w:b/>
                <w:sz w:val="20"/>
              </w:rPr>
            </w:pPr>
            <w:r>
              <w:rPr>
                <w:rFonts w:ascii="Arial" w:hAnsi="Arial" w:cs="Arial"/>
                <w:b/>
                <w:sz w:val="20"/>
              </w:rPr>
              <w:t>Reason f</w:t>
            </w:r>
            <w:r w:rsidRPr="005D3179">
              <w:rPr>
                <w:rFonts w:ascii="Arial" w:hAnsi="Arial" w:cs="Arial"/>
                <w:b/>
                <w:sz w:val="20"/>
              </w:rPr>
              <w:t>or Update</w:t>
            </w:r>
          </w:p>
        </w:tc>
        <w:tc>
          <w:tcPr>
            <w:tcW w:w="2515" w:type="dxa"/>
          </w:tcPr>
          <w:p w:rsidR="00760E87" w:rsidRPr="005D3179" w:rsidRDefault="00760E87" w:rsidP="00832319">
            <w:pPr>
              <w:widowControl/>
              <w:suppressAutoHyphens/>
              <w:spacing w:before="80" w:after="40"/>
              <w:jc w:val="both"/>
              <w:rPr>
                <w:rFonts w:ascii="Arial" w:hAnsi="Arial" w:cs="Arial"/>
                <w:b/>
                <w:sz w:val="20"/>
              </w:rPr>
            </w:pPr>
            <w:r w:rsidRPr="005D3179">
              <w:rPr>
                <w:rFonts w:ascii="Arial" w:hAnsi="Arial" w:cs="Arial"/>
                <w:b/>
                <w:sz w:val="20"/>
              </w:rPr>
              <w:t>Version &amp; Publication</w:t>
            </w:r>
          </w:p>
        </w:tc>
      </w:tr>
      <w:tr w:rsidR="00760E87" w:rsidRPr="00E453B3" w:rsidTr="00D41032">
        <w:tc>
          <w:tcPr>
            <w:tcW w:w="1551" w:type="dxa"/>
          </w:tcPr>
          <w:p w:rsidR="00760E87" w:rsidRPr="008916F8" w:rsidRDefault="00760E87" w:rsidP="00832319">
            <w:pPr>
              <w:widowControl/>
              <w:suppressAutoHyphens/>
              <w:spacing w:before="80" w:after="40"/>
              <w:jc w:val="both"/>
              <w:rPr>
                <w:rFonts w:ascii="Arial" w:hAnsi="Arial" w:cs="Arial"/>
                <w:sz w:val="20"/>
              </w:rPr>
            </w:pPr>
            <w:r w:rsidRPr="008916F8">
              <w:rPr>
                <w:rFonts w:ascii="Arial" w:hAnsi="Arial" w:cs="Arial"/>
                <w:sz w:val="20"/>
              </w:rPr>
              <w:t>May 2003</w:t>
            </w:r>
          </w:p>
        </w:tc>
        <w:tc>
          <w:tcPr>
            <w:tcW w:w="5623" w:type="dxa"/>
          </w:tcPr>
          <w:p w:rsidR="00760E87" w:rsidRPr="008916F8" w:rsidRDefault="00760E87" w:rsidP="00832319">
            <w:pPr>
              <w:widowControl/>
              <w:suppressAutoHyphens/>
              <w:spacing w:before="80" w:after="40"/>
              <w:jc w:val="both"/>
              <w:rPr>
                <w:rFonts w:ascii="Arial" w:hAnsi="Arial" w:cs="Arial"/>
                <w:sz w:val="20"/>
              </w:rPr>
            </w:pPr>
            <w:r>
              <w:rPr>
                <w:rFonts w:ascii="Arial" w:hAnsi="Arial" w:cs="Arial"/>
                <w:sz w:val="20"/>
              </w:rPr>
              <w:t>Version</w:t>
            </w:r>
            <w:r w:rsidRPr="008916F8">
              <w:rPr>
                <w:rFonts w:ascii="Arial" w:hAnsi="Arial" w:cs="Arial"/>
                <w:sz w:val="20"/>
              </w:rPr>
              <w:t xml:space="preserve"> for implementation</w:t>
            </w:r>
          </w:p>
        </w:tc>
        <w:tc>
          <w:tcPr>
            <w:tcW w:w="2515" w:type="dxa"/>
          </w:tcPr>
          <w:p w:rsidR="00760E87" w:rsidRPr="008916F8" w:rsidRDefault="00760E87" w:rsidP="00832319">
            <w:pPr>
              <w:widowControl/>
              <w:suppressAutoHyphens/>
              <w:spacing w:before="80" w:after="40"/>
              <w:jc w:val="both"/>
              <w:rPr>
                <w:rFonts w:ascii="Arial" w:hAnsi="Arial" w:cs="Arial"/>
                <w:sz w:val="20"/>
              </w:rPr>
            </w:pPr>
            <w:r w:rsidRPr="008916F8">
              <w:rPr>
                <w:rFonts w:ascii="Arial" w:hAnsi="Arial" w:cs="Arial"/>
                <w:sz w:val="20"/>
              </w:rPr>
              <w:t>Version 1 May 2003</w:t>
            </w:r>
          </w:p>
        </w:tc>
      </w:tr>
      <w:tr w:rsidR="00760E87" w:rsidRPr="00E453B3" w:rsidTr="00D41032">
        <w:tc>
          <w:tcPr>
            <w:tcW w:w="1551" w:type="dxa"/>
          </w:tcPr>
          <w:p w:rsidR="00760E87" w:rsidRPr="008916F8" w:rsidRDefault="00760E87" w:rsidP="00C54CAE">
            <w:pPr>
              <w:widowControl/>
              <w:suppressAutoHyphens/>
              <w:spacing w:before="80" w:after="40"/>
              <w:jc w:val="both"/>
              <w:rPr>
                <w:rFonts w:ascii="Arial" w:hAnsi="Arial" w:cs="Arial"/>
                <w:sz w:val="20"/>
              </w:rPr>
            </w:pPr>
            <w:r>
              <w:rPr>
                <w:rFonts w:ascii="Arial" w:hAnsi="Arial" w:cs="Arial"/>
                <w:sz w:val="20"/>
              </w:rPr>
              <w:t xml:space="preserve">October </w:t>
            </w:r>
            <w:r w:rsidR="00C54CAE">
              <w:rPr>
                <w:rFonts w:ascii="Arial" w:hAnsi="Arial" w:cs="Arial"/>
                <w:sz w:val="20"/>
              </w:rPr>
              <w:t>2010</w:t>
            </w:r>
          </w:p>
        </w:tc>
        <w:tc>
          <w:tcPr>
            <w:tcW w:w="5623" w:type="dxa"/>
          </w:tcPr>
          <w:p w:rsidR="00760E87" w:rsidRDefault="00760E87" w:rsidP="00832319">
            <w:pPr>
              <w:widowControl/>
              <w:suppressAutoHyphens/>
              <w:spacing w:before="80" w:after="40"/>
              <w:jc w:val="both"/>
              <w:rPr>
                <w:rFonts w:ascii="Arial" w:hAnsi="Arial" w:cs="Arial"/>
                <w:sz w:val="20"/>
              </w:rPr>
            </w:pPr>
            <w:r>
              <w:rPr>
                <w:rFonts w:ascii="Arial" w:hAnsi="Arial"/>
                <w:sz w:val="20"/>
              </w:rPr>
              <w:t>Formatted, contact details updated</w:t>
            </w:r>
          </w:p>
        </w:tc>
        <w:tc>
          <w:tcPr>
            <w:tcW w:w="2515" w:type="dxa"/>
          </w:tcPr>
          <w:p w:rsidR="00760E87" w:rsidRPr="008916F8" w:rsidRDefault="00760E87" w:rsidP="00832319">
            <w:pPr>
              <w:widowControl/>
              <w:suppressAutoHyphens/>
              <w:spacing w:before="80" w:after="40"/>
              <w:jc w:val="both"/>
              <w:rPr>
                <w:rFonts w:ascii="Arial" w:hAnsi="Arial" w:cs="Arial"/>
                <w:sz w:val="20"/>
              </w:rPr>
            </w:pPr>
            <w:r>
              <w:rPr>
                <w:rFonts w:ascii="Arial" w:hAnsi="Arial" w:cs="Arial"/>
                <w:sz w:val="20"/>
              </w:rPr>
              <w:t>Version 1_1 Oct 2010</w:t>
            </w:r>
          </w:p>
        </w:tc>
      </w:tr>
      <w:tr w:rsidR="00760E87" w:rsidRPr="00E453B3" w:rsidTr="00D41032">
        <w:tc>
          <w:tcPr>
            <w:tcW w:w="1551" w:type="dxa"/>
            <w:tcBorders>
              <w:bottom w:val="dotted" w:sz="4" w:space="0" w:color="auto"/>
            </w:tcBorders>
          </w:tcPr>
          <w:p w:rsidR="00760E87" w:rsidRPr="008916F8" w:rsidRDefault="00760E87" w:rsidP="00832319">
            <w:pPr>
              <w:widowControl/>
              <w:suppressAutoHyphens/>
              <w:spacing w:before="80" w:after="40"/>
              <w:jc w:val="both"/>
              <w:rPr>
                <w:rFonts w:ascii="Arial" w:hAnsi="Arial" w:cs="Arial"/>
                <w:sz w:val="20"/>
              </w:rPr>
            </w:pPr>
            <w:r w:rsidRPr="008916F8">
              <w:rPr>
                <w:rFonts w:ascii="Arial" w:hAnsi="Arial" w:cs="Arial"/>
                <w:sz w:val="20"/>
              </w:rPr>
              <w:t>October 2010</w:t>
            </w:r>
            <w:r>
              <w:rPr>
                <w:rFonts w:ascii="Arial" w:hAnsi="Arial" w:cs="Arial"/>
                <w:sz w:val="20"/>
              </w:rPr>
              <w:br/>
              <w:t>June 2011</w:t>
            </w:r>
          </w:p>
        </w:tc>
        <w:tc>
          <w:tcPr>
            <w:tcW w:w="5623" w:type="dxa"/>
            <w:tcBorders>
              <w:bottom w:val="dotted" w:sz="4" w:space="0" w:color="auto"/>
            </w:tcBorders>
          </w:tcPr>
          <w:p w:rsidR="00760E87" w:rsidRDefault="00760E87" w:rsidP="00E453B3">
            <w:pPr>
              <w:widowControl/>
              <w:tabs>
                <w:tab w:val="left" w:pos="284"/>
              </w:tabs>
              <w:suppressAutoHyphens/>
              <w:spacing w:before="80"/>
              <w:ind w:left="284" w:hanging="284"/>
              <w:jc w:val="both"/>
              <w:rPr>
                <w:rFonts w:ascii="Arial" w:hAnsi="Arial" w:cs="Arial"/>
                <w:sz w:val="20"/>
              </w:rPr>
            </w:pPr>
            <w:r>
              <w:rPr>
                <w:rFonts w:ascii="Arial" w:hAnsi="Arial" w:cs="Arial"/>
                <w:sz w:val="20"/>
              </w:rPr>
              <w:t>1</w:t>
            </w:r>
            <w:r>
              <w:rPr>
                <w:rFonts w:ascii="Arial" w:hAnsi="Arial" w:cs="Arial"/>
                <w:sz w:val="20"/>
              </w:rPr>
              <w:tab/>
            </w:r>
            <w:r w:rsidRPr="008916F8">
              <w:rPr>
                <w:rFonts w:ascii="Arial" w:hAnsi="Arial" w:cs="Arial"/>
                <w:sz w:val="20"/>
              </w:rPr>
              <w:t>Inclusion of the section on Summary Report</w:t>
            </w:r>
          </w:p>
          <w:p w:rsidR="00760E87" w:rsidRDefault="00760E87" w:rsidP="00E453B3">
            <w:pPr>
              <w:widowControl/>
              <w:tabs>
                <w:tab w:val="left" w:pos="284"/>
              </w:tabs>
              <w:suppressAutoHyphens/>
              <w:spacing w:before="40"/>
              <w:ind w:left="284" w:hanging="284"/>
              <w:jc w:val="both"/>
              <w:rPr>
                <w:rFonts w:ascii="Arial" w:hAnsi="Arial" w:cs="Arial"/>
                <w:sz w:val="20"/>
              </w:rPr>
            </w:pPr>
            <w:r>
              <w:rPr>
                <w:rFonts w:ascii="Arial" w:hAnsi="Arial" w:cs="Arial"/>
                <w:sz w:val="20"/>
              </w:rPr>
              <w:t>2</w:t>
            </w:r>
            <w:r>
              <w:rPr>
                <w:rFonts w:ascii="Arial" w:hAnsi="Arial" w:cs="Arial"/>
                <w:sz w:val="20"/>
              </w:rPr>
              <w:tab/>
              <w:t xml:space="preserve">Inclusion of additional information under the section </w:t>
            </w:r>
            <w:r w:rsidR="00064C8F">
              <w:rPr>
                <w:rFonts w:ascii="Arial" w:hAnsi="Arial" w:cs="Arial"/>
                <w:sz w:val="20"/>
              </w:rPr>
              <w:t>on” Healthcare</w:t>
            </w:r>
            <w:r>
              <w:rPr>
                <w:rFonts w:ascii="Arial" w:hAnsi="Arial" w:cs="Arial"/>
                <w:sz w:val="20"/>
              </w:rPr>
              <w:t xml:space="preserve"> professional”</w:t>
            </w:r>
          </w:p>
          <w:p w:rsidR="00760E87" w:rsidRPr="008916F8" w:rsidRDefault="00760E87" w:rsidP="00737AF2">
            <w:pPr>
              <w:widowControl/>
              <w:tabs>
                <w:tab w:val="left" w:pos="284"/>
              </w:tabs>
              <w:suppressAutoHyphens/>
              <w:spacing w:before="40" w:after="40"/>
              <w:ind w:left="284" w:hanging="284"/>
              <w:jc w:val="both"/>
              <w:rPr>
                <w:rFonts w:ascii="Arial" w:hAnsi="Arial" w:cs="Arial"/>
                <w:sz w:val="20"/>
              </w:rPr>
            </w:pPr>
            <w:r>
              <w:rPr>
                <w:rFonts w:ascii="Arial" w:hAnsi="Arial" w:cs="Arial"/>
                <w:sz w:val="20"/>
              </w:rPr>
              <w:t>3</w:t>
            </w:r>
            <w:r>
              <w:rPr>
                <w:rFonts w:ascii="Arial" w:hAnsi="Arial" w:cs="Arial"/>
                <w:sz w:val="20"/>
              </w:rPr>
              <w:tab/>
              <w:t xml:space="preserve">Dividing the </w:t>
            </w:r>
            <w:r w:rsidRPr="008916F8">
              <w:rPr>
                <w:rFonts w:ascii="Arial" w:hAnsi="Arial" w:cs="Arial"/>
                <w:sz w:val="20"/>
              </w:rPr>
              <w:t xml:space="preserve">guidelines </w:t>
            </w:r>
            <w:r>
              <w:rPr>
                <w:rFonts w:ascii="Arial" w:hAnsi="Arial" w:cs="Arial"/>
                <w:sz w:val="20"/>
              </w:rPr>
              <w:t xml:space="preserve">into two: one </w:t>
            </w:r>
            <w:r w:rsidRPr="008916F8">
              <w:rPr>
                <w:rFonts w:ascii="Arial" w:hAnsi="Arial" w:cs="Arial"/>
                <w:sz w:val="20"/>
              </w:rPr>
              <w:t>for reporting pre-</w:t>
            </w:r>
            <w:r>
              <w:rPr>
                <w:rFonts w:ascii="Arial" w:hAnsi="Arial" w:cs="Arial"/>
                <w:sz w:val="20"/>
              </w:rPr>
              <w:t xml:space="preserve">registration medicines </w:t>
            </w:r>
            <w:r w:rsidRPr="008916F8">
              <w:rPr>
                <w:rFonts w:ascii="Arial" w:hAnsi="Arial" w:cs="Arial"/>
                <w:sz w:val="20"/>
              </w:rPr>
              <w:t>adverse reactions/events</w:t>
            </w:r>
            <w:r w:rsidR="00C54CAE">
              <w:rPr>
                <w:rFonts w:ascii="Arial" w:hAnsi="Arial" w:cs="Arial"/>
                <w:sz w:val="20"/>
              </w:rPr>
              <w:t xml:space="preserve"> (2.11) </w:t>
            </w:r>
            <w:r w:rsidRPr="008916F8">
              <w:rPr>
                <w:rFonts w:ascii="Arial" w:hAnsi="Arial" w:cs="Arial"/>
                <w:sz w:val="20"/>
              </w:rPr>
              <w:t xml:space="preserve"> and </w:t>
            </w:r>
            <w:r>
              <w:rPr>
                <w:rFonts w:ascii="Arial" w:hAnsi="Arial" w:cs="Arial"/>
                <w:sz w:val="20"/>
              </w:rPr>
              <w:t xml:space="preserve">the other for reporting </w:t>
            </w:r>
            <w:r w:rsidRPr="008916F8">
              <w:rPr>
                <w:rFonts w:ascii="Arial" w:hAnsi="Arial" w:cs="Arial"/>
                <w:sz w:val="20"/>
              </w:rPr>
              <w:t>post-registration medicines adverse reactions/events</w:t>
            </w:r>
            <w:r w:rsidR="00C54CAE">
              <w:rPr>
                <w:rFonts w:ascii="Arial" w:hAnsi="Arial" w:cs="Arial"/>
                <w:sz w:val="20"/>
              </w:rPr>
              <w:t xml:space="preserve"> (2.33)</w:t>
            </w:r>
          </w:p>
        </w:tc>
        <w:tc>
          <w:tcPr>
            <w:tcW w:w="2515" w:type="dxa"/>
            <w:tcBorders>
              <w:bottom w:val="nil"/>
            </w:tcBorders>
          </w:tcPr>
          <w:p w:rsidR="00760E87" w:rsidRDefault="00760E87" w:rsidP="00832319">
            <w:pPr>
              <w:widowControl/>
              <w:suppressAutoHyphens/>
              <w:spacing w:before="80" w:after="40"/>
              <w:jc w:val="both"/>
              <w:rPr>
                <w:rFonts w:ascii="Arial" w:hAnsi="Arial" w:cs="Arial"/>
                <w:sz w:val="20"/>
              </w:rPr>
            </w:pPr>
            <w:r w:rsidRPr="008916F8">
              <w:rPr>
                <w:rFonts w:ascii="Arial" w:hAnsi="Arial" w:cs="Arial"/>
                <w:sz w:val="20"/>
              </w:rPr>
              <w:t>Version 2</w:t>
            </w:r>
            <w:r>
              <w:rPr>
                <w:rFonts w:ascii="Arial" w:hAnsi="Arial" w:cs="Arial"/>
                <w:sz w:val="20"/>
              </w:rPr>
              <w:t xml:space="preserve"> July 2011</w:t>
            </w:r>
          </w:p>
        </w:tc>
      </w:tr>
      <w:tr w:rsidR="00760E87" w:rsidRPr="00E453B3" w:rsidTr="00D41032">
        <w:tc>
          <w:tcPr>
            <w:tcW w:w="1551" w:type="dxa"/>
            <w:tcBorders>
              <w:top w:val="dotted" w:sz="4" w:space="0" w:color="auto"/>
              <w:bottom w:val="dotted" w:sz="4" w:space="0" w:color="auto"/>
            </w:tcBorders>
          </w:tcPr>
          <w:p w:rsidR="00760E87" w:rsidRPr="008916F8" w:rsidRDefault="00760E87" w:rsidP="00832319">
            <w:pPr>
              <w:widowControl/>
              <w:suppressAutoHyphens/>
              <w:spacing w:before="80" w:after="40"/>
              <w:jc w:val="both"/>
              <w:rPr>
                <w:rFonts w:ascii="Arial" w:hAnsi="Arial" w:cs="Arial"/>
                <w:sz w:val="20"/>
              </w:rPr>
            </w:pPr>
            <w:r>
              <w:rPr>
                <w:rFonts w:ascii="Arial" w:hAnsi="Arial" w:cs="Arial"/>
                <w:sz w:val="20"/>
              </w:rPr>
              <w:t>June 2011</w:t>
            </w:r>
          </w:p>
        </w:tc>
        <w:tc>
          <w:tcPr>
            <w:tcW w:w="5623" w:type="dxa"/>
            <w:tcBorders>
              <w:top w:val="dotted" w:sz="4" w:space="0" w:color="auto"/>
              <w:bottom w:val="dotted" w:sz="4" w:space="0" w:color="auto"/>
            </w:tcBorders>
          </w:tcPr>
          <w:p w:rsidR="00760E87" w:rsidRDefault="00760E87" w:rsidP="00C5040A">
            <w:pPr>
              <w:widowControl/>
              <w:tabs>
                <w:tab w:val="left" w:pos="284"/>
              </w:tabs>
              <w:suppressAutoHyphens/>
              <w:spacing w:before="80" w:after="40"/>
              <w:ind w:left="568" w:hanging="284"/>
              <w:jc w:val="both"/>
              <w:rPr>
                <w:rFonts w:ascii="Arial" w:hAnsi="Arial" w:cs="Arial"/>
                <w:sz w:val="20"/>
              </w:rPr>
            </w:pPr>
            <w:r>
              <w:rPr>
                <w:rFonts w:ascii="Arial" w:hAnsi="Arial" w:cs="Arial"/>
                <w:sz w:val="20"/>
              </w:rPr>
              <w:t>Published for comment</w:t>
            </w:r>
          </w:p>
        </w:tc>
        <w:tc>
          <w:tcPr>
            <w:tcW w:w="2515" w:type="dxa"/>
            <w:tcBorders>
              <w:top w:val="nil"/>
              <w:bottom w:val="nil"/>
            </w:tcBorders>
          </w:tcPr>
          <w:p w:rsidR="00760E87" w:rsidRPr="008916F8" w:rsidRDefault="00760E87" w:rsidP="00832319">
            <w:pPr>
              <w:widowControl/>
              <w:suppressAutoHyphens/>
              <w:spacing w:before="80" w:after="40"/>
              <w:jc w:val="both"/>
              <w:rPr>
                <w:rFonts w:ascii="Arial" w:hAnsi="Arial" w:cs="Arial"/>
                <w:sz w:val="20"/>
              </w:rPr>
            </w:pPr>
          </w:p>
        </w:tc>
      </w:tr>
      <w:tr w:rsidR="00C5040A" w:rsidRPr="00E453B3" w:rsidTr="00D41032">
        <w:tc>
          <w:tcPr>
            <w:tcW w:w="1551" w:type="dxa"/>
            <w:tcBorders>
              <w:top w:val="dotted" w:sz="4" w:space="0" w:color="auto"/>
              <w:bottom w:val="dotted" w:sz="4" w:space="0" w:color="auto"/>
            </w:tcBorders>
          </w:tcPr>
          <w:p w:rsidR="00C5040A" w:rsidRDefault="00C5040A" w:rsidP="00832319">
            <w:pPr>
              <w:widowControl/>
              <w:suppressAutoHyphens/>
              <w:spacing w:before="80" w:after="40"/>
              <w:jc w:val="both"/>
              <w:rPr>
                <w:rFonts w:ascii="Arial" w:hAnsi="Arial" w:cs="Arial"/>
                <w:sz w:val="20"/>
              </w:rPr>
            </w:pPr>
            <w:r>
              <w:rPr>
                <w:rFonts w:ascii="Arial" w:hAnsi="Arial" w:cs="Arial"/>
                <w:sz w:val="20"/>
              </w:rPr>
              <w:t>15 Oct 2011</w:t>
            </w:r>
          </w:p>
        </w:tc>
        <w:tc>
          <w:tcPr>
            <w:tcW w:w="5623" w:type="dxa"/>
            <w:tcBorders>
              <w:top w:val="dotted" w:sz="4" w:space="0" w:color="auto"/>
              <w:bottom w:val="dotted" w:sz="4" w:space="0" w:color="auto"/>
            </w:tcBorders>
          </w:tcPr>
          <w:p w:rsidR="00C5040A" w:rsidRDefault="00C5040A" w:rsidP="00C5040A">
            <w:pPr>
              <w:widowControl/>
              <w:tabs>
                <w:tab w:val="left" w:pos="284"/>
              </w:tabs>
              <w:suppressAutoHyphens/>
              <w:spacing w:before="80" w:after="40"/>
              <w:ind w:left="568" w:hanging="284"/>
              <w:jc w:val="both"/>
              <w:rPr>
                <w:rFonts w:ascii="Arial" w:hAnsi="Arial" w:cs="Arial"/>
                <w:sz w:val="20"/>
              </w:rPr>
            </w:pPr>
            <w:r>
              <w:rPr>
                <w:rFonts w:ascii="Arial" w:hAnsi="Arial" w:cs="Arial"/>
                <w:sz w:val="20"/>
              </w:rPr>
              <w:t>Deadline for comment</w:t>
            </w:r>
          </w:p>
        </w:tc>
        <w:tc>
          <w:tcPr>
            <w:tcW w:w="2515" w:type="dxa"/>
            <w:tcBorders>
              <w:top w:val="nil"/>
              <w:bottom w:val="dotted" w:sz="4" w:space="0" w:color="auto"/>
            </w:tcBorders>
          </w:tcPr>
          <w:p w:rsidR="00C5040A" w:rsidRPr="008916F8" w:rsidRDefault="00C5040A" w:rsidP="00832319">
            <w:pPr>
              <w:widowControl/>
              <w:suppressAutoHyphens/>
              <w:spacing w:before="80" w:after="40"/>
              <w:jc w:val="both"/>
              <w:rPr>
                <w:rFonts w:ascii="Arial" w:hAnsi="Arial" w:cs="Arial"/>
                <w:sz w:val="20"/>
              </w:rPr>
            </w:pPr>
          </w:p>
        </w:tc>
      </w:tr>
      <w:tr w:rsidR="00760E87" w:rsidRPr="00E453B3" w:rsidTr="00D41032">
        <w:tc>
          <w:tcPr>
            <w:tcW w:w="1551" w:type="dxa"/>
            <w:tcBorders>
              <w:top w:val="dotted" w:sz="4" w:space="0" w:color="auto"/>
            </w:tcBorders>
          </w:tcPr>
          <w:p w:rsidR="00760E87" w:rsidRDefault="00C54CAE" w:rsidP="00832319">
            <w:pPr>
              <w:widowControl/>
              <w:suppressAutoHyphens/>
              <w:spacing w:before="80" w:after="40"/>
              <w:jc w:val="both"/>
              <w:rPr>
                <w:rFonts w:ascii="Arial" w:hAnsi="Arial" w:cs="Arial"/>
                <w:sz w:val="20"/>
              </w:rPr>
            </w:pPr>
            <w:r>
              <w:rPr>
                <w:rFonts w:ascii="Arial" w:hAnsi="Arial" w:cs="Arial"/>
                <w:sz w:val="20"/>
              </w:rPr>
              <w:t xml:space="preserve">Oct </w:t>
            </w:r>
            <w:r w:rsidR="00760E87">
              <w:rPr>
                <w:rFonts w:ascii="Arial" w:hAnsi="Arial" w:cs="Arial"/>
                <w:sz w:val="20"/>
              </w:rPr>
              <w:t>2012</w:t>
            </w:r>
          </w:p>
        </w:tc>
        <w:tc>
          <w:tcPr>
            <w:tcW w:w="5623" w:type="dxa"/>
            <w:tcBorders>
              <w:top w:val="dotted" w:sz="4" w:space="0" w:color="auto"/>
            </w:tcBorders>
          </w:tcPr>
          <w:p w:rsidR="00C54CAE" w:rsidRDefault="00C54CAE" w:rsidP="00AA5E86">
            <w:pPr>
              <w:widowControl/>
              <w:tabs>
                <w:tab w:val="left" w:pos="284"/>
              </w:tabs>
              <w:suppressAutoHyphens/>
              <w:spacing w:before="80"/>
              <w:ind w:left="284" w:hanging="284"/>
              <w:jc w:val="both"/>
              <w:rPr>
                <w:rFonts w:ascii="Arial" w:hAnsi="Arial" w:cs="Arial"/>
                <w:sz w:val="20"/>
              </w:rPr>
            </w:pPr>
            <w:r>
              <w:rPr>
                <w:rFonts w:ascii="Arial" w:hAnsi="Arial" w:cs="Arial"/>
                <w:sz w:val="20"/>
              </w:rPr>
              <w:t>New document number allocated (2.33)</w:t>
            </w:r>
          </w:p>
          <w:p w:rsidR="00760E87" w:rsidRDefault="00760E87" w:rsidP="00E81EA3">
            <w:pPr>
              <w:widowControl/>
              <w:tabs>
                <w:tab w:val="left" w:pos="284"/>
              </w:tabs>
              <w:suppressAutoHyphens/>
              <w:spacing w:after="40"/>
              <w:ind w:left="284" w:hanging="284"/>
              <w:jc w:val="both"/>
              <w:rPr>
                <w:rFonts w:ascii="Arial" w:hAnsi="Arial" w:cs="Arial"/>
                <w:sz w:val="20"/>
              </w:rPr>
            </w:pPr>
            <w:r>
              <w:rPr>
                <w:rFonts w:ascii="Arial" w:hAnsi="Arial" w:cs="Arial"/>
                <w:sz w:val="20"/>
              </w:rPr>
              <w:t>Published for implementation</w:t>
            </w:r>
          </w:p>
        </w:tc>
        <w:tc>
          <w:tcPr>
            <w:tcW w:w="2515" w:type="dxa"/>
            <w:tcBorders>
              <w:top w:val="dotted" w:sz="4" w:space="0" w:color="auto"/>
            </w:tcBorders>
          </w:tcPr>
          <w:p w:rsidR="00760E87" w:rsidRDefault="00760E87" w:rsidP="00832319">
            <w:pPr>
              <w:widowControl/>
              <w:suppressAutoHyphens/>
              <w:spacing w:before="80" w:after="40"/>
              <w:jc w:val="both"/>
              <w:rPr>
                <w:rFonts w:ascii="Arial" w:hAnsi="Arial" w:cs="Arial"/>
                <w:sz w:val="20"/>
              </w:rPr>
            </w:pPr>
            <w:r>
              <w:rPr>
                <w:rFonts w:ascii="Arial" w:hAnsi="Arial" w:cs="Arial"/>
                <w:sz w:val="20"/>
              </w:rPr>
              <w:t>Version 2 Dec 2012</w:t>
            </w:r>
          </w:p>
        </w:tc>
      </w:tr>
      <w:tr w:rsidR="00B14432" w:rsidRPr="00E453B3" w:rsidTr="00D41032">
        <w:tc>
          <w:tcPr>
            <w:tcW w:w="1551" w:type="dxa"/>
          </w:tcPr>
          <w:p w:rsidR="00C54CAE" w:rsidRPr="002E5DB7" w:rsidRDefault="00C54CAE" w:rsidP="00832319">
            <w:pPr>
              <w:widowControl/>
              <w:suppressAutoHyphens/>
              <w:spacing w:before="80" w:after="40"/>
              <w:jc w:val="both"/>
              <w:rPr>
                <w:rFonts w:ascii="Arial" w:hAnsi="Arial" w:cs="Arial"/>
                <w:sz w:val="20"/>
              </w:rPr>
            </w:pPr>
            <w:r w:rsidRPr="002E5DB7">
              <w:rPr>
                <w:rFonts w:ascii="Arial" w:hAnsi="Arial" w:cs="Arial"/>
                <w:sz w:val="20"/>
              </w:rPr>
              <w:t>Aug 2014</w:t>
            </w:r>
          </w:p>
        </w:tc>
        <w:tc>
          <w:tcPr>
            <w:tcW w:w="5623" w:type="dxa"/>
          </w:tcPr>
          <w:p w:rsidR="00C54CAE" w:rsidRPr="002E5DB7" w:rsidRDefault="00C54CAE" w:rsidP="00C54CAE">
            <w:pPr>
              <w:widowControl/>
              <w:tabs>
                <w:tab w:val="left" w:pos="284"/>
              </w:tabs>
              <w:suppressAutoHyphens/>
              <w:spacing w:before="80" w:after="40"/>
              <w:ind w:left="284" w:hanging="284"/>
              <w:jc w:val="both"/>
              <w:rPr>
                <w:rFonts w:ascii="Arial" w:hAnsi="Arial" w:cs="Arial"/>
                <w:sz w:val="20"/>
              </w:rPr>
            </w:pPr>
            <w:r w:rsidRPr="002E5DB7">
              <w:rPr>
                <w:rFonts w:ascii="Arial" w:hAnsi="Arial" w:cs="Arial"/>
                <w:sz w:val="20"/>
              </w:rPr>
              <w:t xml:space="preserve">Amendment of 5.1 (ii) and inclusion of Appendix </w:t>
            </w:r>
            <w:r w:rsidR="000C320D">
              <w:rPr>
                <w:rFonts w:ascii="Arial" w:hAnsi="Arial" w:cs="Arial"/>
                <w:sz w:val="20"/>
              </w:rPr>
              <w:t>3</w:t>
            </w:r>
          </w:p>
        </w:tc>
        <w:tc>
          <w:tcPr>
            <w:tcW w:w="2515" w:type="dxa"/>
          </w:tcPr>
          <w:p w:rsidR="00C54CAE" w:rsidRPr="002E5DB7" w:rsidRDefault="00C54CAE" w:rsidP="00832319">
            <w:pPr>
              <w:widowControl/>
              <w:suppressAutoHyphens/>
              <w:spacing w:before="80" w:after="40"/>
              <w:jc w:val="both"/>
              <w:rPr>
                <w:rFonts w:ascii="Arial" w:hAnsi="Arial" w:cs="Arial"/>
                <w:sz w:val="20"/>
              </w:rPr>
            </w:pPr>
            <w:r w:rsidRPr="002E5DB7">
              <w:rPr>
                <w:rFonts w:ascii="Arial" w:hAnsi="Arial" w:cs="Arial"/>
                <w:sz w:val="20"/>
              </w:rPr>
              <w:t>Version 3 Aug 2014</w:t>
            </w:r>
          </w:p>
        </w:tc>
      </w:tr>
      <w:tr w:rsidR="00C75E97" w:rsidRPr="00E453B3" w:rsidTr="00D41032">
        <w:tc>
          <w:tcPr>
            <w:tcW w:w="1551" w:type="dxa"/>
            <w:tcBorders>
              <w:bottom w:val="dotted" w:sz="4" w:space="0" w:color="auto"/>
            </w:tcBorders>
          </w:tcPr>
          <w:p w:rsidR="00C75E97" w:rsidRPr="00C75E97" w:rsidRDefault="00C75E97" w:rsidP="009B7541">
            <w:pPr>
              <w:widowControl/>
              <w:suppressAutoHyphens/>
              <w:spacing w:before="80" w:after="40"/>
              <w:jc w:val="both"/>
              <w:rPr>
                <w:rFonts w:ascii="Arial" w:hAnsi="Arial" w:cs="Arial"/>
                <w:sz w:val="20"/>
              </w:rPr>
            </w:pPr>
            <w:r w:rsidRPr="00C75E97">
              <w:rPr>
                <w:rFonts w:ascii="Arial" w:hAnsi="Arial" w:cs="Arial"/>
                <w:sz w:val="20"/>
              </w:rPr>
              <w:t>April 2015</w:t>
            </w:r>
          </w:p>
        </w:tc>
        <w:tc>
          <w:tcPr>
            <w:tcW w:w="5623" w:type="dxa"/>
            <w:tcBorders>
              <w:bottom w:val="dotted" w:sz="4" w:space="0" w:color="auto"/>
            </w:tcBorders>
            <w:shd w:val="clear" w:color="auto" w:fill="auto"/>
          </w:tcPr>
          <w:p w:rsidR="00C75E97" w:rsidRPr="00D41032" w:rsidRDefault="00C75E97" w:rsidP="009B7541">
            <w:pPr>
              <w:widowControl/>
              <w:numPr>
                <w:ilvl w:val="0"/>
                <w:numId w:val="25"/>
              </w:numPr>
              <w:tabs>
                <w:tab w:val="left" w:pos="340"/>
              </w:tabs>
              <w:suppressAutoHyphens/>
              <w:spacing w:before="80"/>
              <w:ind w:left="340" w:hanging="340"/>
              <w:jc w:val="both"/>
              <w:rPr>
                <w:rFonts w:ascii="Arial" w:hAnsi="Arial" w:cs="Arial"/>
                <w:sz w:val="20"/>
              </w:rPr>
            </w:pPr>
            <w:r w:rsidRPr="00D41032">
              <w:rPr>
                <w:rFonts w:ascii="Arial" w:hAnsi="Arial" w:cs="Arial"/>
                <w:sz w:val="20"/>
              </w:rPr>
              <w:t>Replacement of “applicant” with “holder of certificate of registration</w:t>
            </w:r>
          </w:p>
          <w:p w:rsidR="00C75E97" w:rsidRPr="00C75E97" w:rsidRDefault="00C75E97" w:rsidP="00E81EA3">
            <w:pPr>
              <w:widowControl/>
              <w:numPr>
                <w:ilvl w:val="0"/>
                <w:numId w:val="25"/>
              </w:numPr>
              <w:tabs>
                <w:tab w:val="left" w:pos="340"/>
              </w:tabs>
              <w:suppressAutoHyphens/>
              <w:ind w:left="340" w:hanging="340"/>
              <w:jc w:val="both"/>
              <w:rPr>
                <w:rFonts w:ascii="Arial" w:hAnsi="Arial" w:cs="Arial"/>
                <w:sz w:val="20"/>
              </w:rPr>
            </w:pPr>
            <w:r w:rsidRPr="00C75E97">
              <w:rPr>
                <w:rFonts w:ascii="Arial" w:hAnsi="Arial" w:cs="Arial"/>
                <w:sz w:val="20"/>
              </w:rPr>
              <w:t xml:space="preserve">Replacement of </w:t>
            </w:r>
            <w:r w:rsidR="008F5EAF">
              <w:rPr>
                <w:rFonts w:ascii="Arial" w:hAnsi="Arial" w:cs="Arial"/>
                <w:sz w:val="20"/>
              </w:rPr>
              <w:t>“</w:t>
            </w:r>
            <w:r w:rsidRPr="00C75E97">
              <w:rPr>
                <w:rFonts w:ascii="Arial" w:hAnsi="Arial" w:cs="Arial"/>
                <w:sz w:val="20"/>
              </w:rPr>
              <w:t>local</w:t>
            </w:r>
            <w:r w:rsidR="008F5EAF">
              <w:rPr>
                <w:rFonts w:ascii="Arial" w:hAnsi="Arial" w:cs="Arial"/>
                <w:sz w:val="20"/>
              </w:rPr>
              <w:t>”</w:t>
            </w:r>
            <w:r w:rsidRPr="00C75E97">
              <w:rPr>
                <w:rFonts w:ascii="Arial" w:hAnsi="Arial" w:cs="Arial"/>
                <w:sz w:val="20"/>
              </w:rPr>
              <w:t xml:space="preserve">, </w:t>
            </w:r>
            <w:r w:rsidR="008F5EAF">
              <w:rPr>
                <w:rFonts w:ascii="Arial" w:hAnsi="Arial" w:cs="Arial"/>
                <w:sz w:val="20"/>
              </w:rPr>
              <w:t>“</w:t>
            </w:r>
            <w:r w:rsidRPr="00C75E97">
              <w:rPr>
                <w:rFonts w:ascii="Arial" w:hAnsi="Arial" w:cs="Arial"/>
                <w:sz w:val="20"/>
              </w:rPr>
              <w:t>regional</w:t>
            </w:r>
            <w:r w:rsidR="008F5EAF">
              <w:rPr>
                <w:rFonts w:ascii="Arial" w:hAnsi="Arial" w:cs="Arial"/>
                <w:sz w:val="20"/>
              </w:rPr>
              <w:t>”</w:t>
            </w:r>
            <w:r w:rsidRPr="00C75E97">
              <w:rPr>
                <w:rFonts w:ascii="Arial" w:hAnsi="Arial" w:cs="Arial"/>
                <w:sz w:val="20"/>
              </w:rPr>
              <w:t xml:space="preserve"> and </w:t>
            </w:r>
            <w:r w:rsidR="008F5EAF">
              <w:rPr>
                <w:rFonts w:ascii="Arial" w:hAnsi="Arial" w:cs="Arial"/>
                <w:sz w:val="20"/>
              </w:rPr>
              <w:t>“</w:t>
            </w:r>
            <w:r w:rsidRPr="00C75E97">
              <w:rPr>
                <w:rFonts w:ascii="Arial" w:hAnsi="Arial" w:cs="Arial"/>
                <w:sz w:val="20"/>
              </w:rPr>
              <w:t>domestic</w:t>
            </w:r>
            <w:r w:rsidR="008F5EAF">
              <w:rPr>
                <w:rFonts w:ascii="Arial" w:hAnsi="Arial" w:cs="Arial"/>
                <w:sz w:val="20"/>
              </w:rPr>
              <w:t>”</w:t>
            </w:r>
            <w:r w:rsidRPr="00C75E97">
              <w:rPr>
                <w:rFonts w:ascii="Arial" w:hAnsi="Arial" w:cs="Arial"/>
                <w:sz w:val="20"/>
              </w:rPr>
              <w:t xml:space="preserve"> with </w:t>
            </w:r>
            <w:r w:rsidR="008F5EAF">
              <w:rPr>
                <w:rFonts w:ascii="Arial" w:hAnsi="Arial" w:cs="Arial"/>
                <w:sz w:val="20"/>
              </w:rPr>
              <w:t>“</w:t>
            </w:r>
            <w:r w:rsidRPr="00C75E97">
              <w:rPr>
                <w:rFonts w:ascii="Arial" w:hAnsi="Arial" w:cs="Arial"/>
                <w:sz w:val="20"/>
              </w:rPr>
              <w:t>South Africa</w:t>
            </w:r>
            <w:r w:rsidR="008F5EAF">
              <w:rPr>
                <w:rFonts w:ascii="Arial" w:hAnsi="Arial" w:cs="Arial"/>
                <w:sz w:val="20"/>
              </w:rPr>
              <w:t>”</w:t>
            </w:r>
          </w:p>
          <w:p w:rsidR="00C75E97" w:rsidRPr="00C75E97" w:rsidRDefault="00C75E97" w:rsidP="00E81EA3">
            <w:pPr>
              <w:widowControl/>
              <w:numPr>
                <w:ilvl w:val="0"/>
                <w:numId w:val="25"/>
              </w:numPr>
              <w:tabs>
                <w:tab w:val="left" w:pos="340"/>
              </w:tabs>
              <w:suppressAutoHyphens/>
              <w:ind w:left="340" w:hanging="340"/>
              <w:jc w:val="both"/>
              <w:rPr>
                <w:rFonts w:ascii="Arial" w:hAnsi="Arial" w:cs="Arial"/>
                <w:sz w:val="20"/>
              </w:rPr>
            </w:pPr>
            <w:r w:rsidRPr="00C75E97">
              <w:rPr>
                <w:rFonts w:ascii="Arial" w:hAnsi="Arial" w:cs="Arial"/>
                <w:sz w:val="20"/>
              </w:rPr>
              <w:t>2.2 replacement of “any dosage” with “doses normally used in man”</w:t>
            </w:r>
          </w:p>
          <w:p w:rsidR="00C75E97" w:rsidRPr="00C75E97" w:rsidRDefault="00C75E97" w:rsidP="00E81EA3">
            <w:pPr>
              <w:widowControl/>
              <w:numPr>
                <w:ilvl w:val="0"/>
                <w:numId w:val="25"/>
              </w:numPr>
              <w:tabs>
                <w:tab w:val="left" w:pos="340"/>
              </w:tabs>
              <w:suppressAutoHyphens/>
              <w:ind w:left="340" w:hanging="340"/>
              <w:jc w:val="both"/>
              <w:rPr>
                <w:rFonts w:ascii="Arial" w:hAnsi="Arial" w:cs="Arial"/>
                <w:sz w:val="20"/>
              </w:rPr>
            </w:pPr>
            <w:r w:rsidRPr="00C75E97">
              <w:rPr>
                <w:rFonts w:ascii="Arial" w:hAnsi="Arial" w:cs="Arial"/>
                <w:sz w:val="20"/>
              </w:rPr>
              <w:t>2.4 addition of “unlisted”</w:t>
            </w:r>
          </w:p>
          <w:p w:rsidR="00C75E97" w:rsidRPr="00C75E97" w:rsidRDefault="00C75E97" w:rsidP="00E81EA3">
            <w:pPr>
              <w:widowControl/>
              <w:numPr>
                <w:ilvl w:val="0"/>
                <w:numId w:val="25"/>
              </w:numPr>
              <w:tabs>
                <w:tab w:val="left" w:pos="340"/>
              </w:tabs>
              <w:suppressAutoHyphens/>
              <w:ind w:left="340" w:hanging="340"/>
              <w:jc w:val="both"/>
              <w:rPr>
                <w:rFonts w:ascii="Arial" w:hAnsi="Arial" w:cs="Arial"/>
                <w:sz w:val="20"/>
              </w:rPr>
            </w:pPr>
            <w:r w:rsidRPr="00C75E97">
              <w:rPr>
                <w:rFonts w:ascii="Arial" w:hAnsi="Arial" w:cs="Arial"/>
                <w:sz w:val="20"/>
              </w:rPr>
              <w:t>3.5 addition of “Individual case safety reports”</w:t>
            </w:r>
          </w:p>
          <w:p w:rsidR="00C75E97" w:rsidRPr="00C75E97" w:rsidRDefault="00C75E97" w:rsidP="00E81EA3">
            <w:pPr>
              <w:widowControl/>
              <w:numPr>
                <w:ilvl w:val="0"/>
                <w:numId w:val="25"/>
              </w:numPr>
              <w:tabs>
                <w:tab w:val="left" w:pos="340"/>
              </w:tabs>
              <w:suppressAutoHyphens/>
              <w:ind w:left="340" w:hanging="340"/>
              <w:jc w:val="both"/>
              <w:rPr>
                <w:rFonts w:ascii="Arial" w:hAnsi="Arial" w:cs="Arial"/>
                <w:sz w:val="20"/>
              </w:rPr>
            </w:pPr>
            <w:r w:rsidRPr="00C75E97">
              <w:rPr>
                <w:rFonts w:ascii="Arial" w:hAnsi="Arial" w:cs="Arial"/>
                <w:sz w:val="20"/>
              </w:rPr>
              <w:t>Addition of definitions 2.7 and 2.14</w:t>
            </w:r>
          </w:p>
          <w:p w:rsidR="00C75E97" w:rsidRPr="00C75E97" w:rsidRDefault="00C75E97" w:rsidP="00E81EA3">
            <w:pPr>
              <w:widowControl/>
              <w:numPr>
                <w:ilvl w:val="0"/>
                <w:numId w:val="25"/>
              </w:numPr>
              <w:tabs>
                <w:tab w:val="left" w:pos="340"/>
              </w:tabs>
              <w:suppressAutoHyphens/>
              <w:ind w:left="340" w:hanging="340"/>
              <w:jc w:val="both"/>
              <w:rPr>
                <w:rFonts w:ascii="Arial" w:hAnsi="Arial" w:cs="Arial"/>
                <w:sz w:val="20"/>
              </w:rPr>
            </w:pPr>
            <w:r w:rsidRPr="00C75E97">
              <w:rPr>
                <w:rFonts w:ascii="Arial" w:hAnsi="Arial" w:cs="Arial"/>
                <w:sz w:val="20"/>
              </w:rPr>
              <w:t>2.11 addition of “evaluation”</w:t>
            </w:r>
          </w:p>
          <w:p w:rsidR="00C75E97" w:rsidRPr="00C75E97" w:rsidRDefault="00C75E97" w:rsidP="00E81EA3">
            <w:pPr>
              <w:widowControl/>
              <w:numPr>
                <w:ilvl w:val="0"/>
                <w:numId w:val="25"/>
              </w:numPr>
              <w:tabs>
                <w:tab w:val="left" w:pos="340"/>
              </w:tabs>
              <w:suppressAutoHyphens/>
              <w:ind w:left="340" w:hanging="340"/>
              <w:jc w:val="both"/>
              <w:rPr>
                <w:rFonts w:ascii="Arial" w:hAnsi="Arial" w:cs="Arial"/>
                <w:sz w:val="20"/>
              </w:rPr>
            </w:pPr>
            <w:r w:rsidRPr="00C75E97">
              <w:rPr>
                <w:rFonts w:ascii="Arial" w:hAnsi="Arial" w:cs="Arial"/>
                <w:sz w:val="20"/>
              </w:rPr>
              <w:t xml:space="preserve">2.13 replacement of “drug” with “medicinal </w:t>
            </w:r>
            <w:r w:rsidR="00064C8F" w:rsidRPr="00C75E97">
              <w:rPr>
                <w:rFonts w:ascii="Arial" w:hAnsi="Arial" w:cs="Arial"/>
                <w:sz w:val="20"/>
              </w:rPr>
              <w:t>product “</w:t>
            </w:r>
          </w:p>
          <w:p w:rsidR="00C75E97" w:rsidRPr="00C75E97" w:rsidRDefault="00C75E97" w:rsidP="00E81EA3">
            <w:pPr>
              <w:widowControl/>
              <w:numPr>
                <w:ilvl w:val="0"/>
                <w:numId w:val="25"/>
              </w:numPr>
              <w:tabs>
                <w:tab w:val="left" w:pos="340"/>
              </w:tabs>
              <w:suppressAutoHyphens/>
              <w:ind w:left="340" w:hanging="340"/>
              <w:jc w:val="both"/>
              <w:rPr>
                <w:rFonts w:ascii="Arial" w:hAnsi="Arial" w:cs="Arial"/>
                <w:sz w:val="20"/>
              </w:rPr>
            </w:pPr>
            <w:r w:rsidRPr="00C75E97">
              <w:rPr>
                <w:rFonts w:ascii="Arial" w:hAnsi="Arial" w:cs="Arial"/>
                <w:sz w:val="20"/>
              </w:rPr>
              <w:t>Amendments to 3.2, 3.3, 4.2</w:t>
            </w:r>
          </w:p>
          <w:p w:rsidR="00C75E97" w:rsidRPr="00C75E97" w:rsidRDefault="00C75E97" w:rsidP="00E81EA3">
            <w:pPr>
              <w:widowControl/>
              <w:numPr>
                <w:ilvl w:val="0"/>
                <w:numId w:val="25"/>
              </w:numPr>
              <w:tabs>
                <w:tab w:val="left" w:pos="340"/>
              </w:tabs>
              <w:suppressAutoHyphens/>
              <w:ind w:left="340" w:hanging="340"/>
              <w:jc w:val="both"/>
              <w:rPr>
                <w:rFonts w:ascii="Arial" w:hAnsi="Arial" w:cs="Arial"/>
                <w:sz w:val="20"/>
              </w:rPr>
            </w:pPr>
            <w:r w:rsidRPr="00C75E97">
              <w:rPr>
                <w:rFonts w:ascii="Arial" w:hAnsi="Arial" w:cs="Arial"/>
                <w:sz w:val="20"/>
              </w:rPr>
              <w:t>Addition of new 4.6 and related new Appendix 3</w:t>
            </w:r>
          </w:p>
          <w:p w:rsidR="00C75E97" w:rsidRPr="00C75E97" w:rsidRDefault="00C75E97" w:rsidP="00E81EA3">
            <w:pPr>
              <w:widowControl/>
              <w:numPr>
                <w:ilvl w:val="0"/>
                <w:numId w:val="25"/>
              </w:numPr>
              <w:tabs>
                <w:tab w:val="left" w:pos="340"/>
              </w:tabs>
              <w:suppressAutoHyphens/>
              <w:ind w:left="340" w:hanging="340"/>
              <w:jc w:val="both"/>
              <w:rPr>
                <w:rFonts w:ascii="Arial" w:hAnsi="Arial" w:cs="Arial"/>
                <w:sz w:val="20"/>
              </w:rPr>
            </w:pPr>
            <w:r w:rsidRPr="00C75E97">
              <w:rPr>
                <w:rFonts w:ascii="Arial" w:hAnsi="Arial" w:cs="Arial"/>
                <w:sz w:val="20"/>
              </w:rPr>
              <w:t>Amendment of 4.7</w:t>
            </w:r>
          </w:p>
          <w:p w:rsidR="00C75E97" w:rsidRPr="00C75E97" w:rsidRDefault="00C75E97" w:rsidP="00E81EA3">
            <w:pPr>
              <w:widowControl/>
              <w:numPr>
                <w:ilvl w:val="0"/>
                <w:numId w:val="25"/>
              </w:numPr>
              <w:tabs>
                <w:tab w:val="left" w:pos="340"/>
              </w:tabs>
              <w:suppressAutoHyphens/>
              <w:ind w:left="340" w:hanging="340"/>
              <w:jc w:val="both"/>
              <w:rPr>
                <w:rFonts w:ascii="Arial" w:hAnsi="Arial" w:cs="Arial"/>
                <w:sz w:val="20"/>
              </w:rPr>
            </w:pPr>
            <w:r w:rsidRPr="00C75E97">
              <w:rPr>
                <w:rFonts w:ascii="Arial" w:hAnsi="Arial" w:cs="Arial"/>
                <w:sz w:val="20"/>
              </w:rPr>
              <w:t>Amendment of 5, 5.1 (ii), 5.2 (ii), 5.3, 5.5 (v), 5.10, 5.13</w:t>
            </w:r>
          </w:p>
          <w:p w:rsidR="00C75E97" w:rsidRPr="00C75E97" w:rsidRDefault="00C75E97" w:rsidP="00E81EA3">
            <w:pPr>
              <w:widowControl/>
              <w:numPr>
                <w:ilvl w:val="0"/>
                <w:numId w:val="25"/>
              </w:numPr>
              <w:tabs>
                <w:tab w:val="left" w:pos="340"/>
              </w:tabs>
              <w:suppressAutoHyphens/>
              <w:ind w:left="340" w:hanging="340"/>
              <w:jc w:val="both"/>
              <w:rPr>
                <w:rFonts w:ascii="Arial" w:hAnsi="Arial" w:cs="Arial"/>
                <w:sz w:val="20"/>
              </w:rPr>
            </w:pPr>
            <w:r w:rsidRPr="00C75E97">
              <w:rPr>
                <w:rFonts w:ascii="Arial" w:hAnsi="Arial" w:cs="Arial"/>
                <w:sz w:val="20"/>
              </w:rPr>
              <w:t>Addition of 5.4 (v)</w:t>
            </w:r>
          </w:p>
          <w:p w:rsidR="00C75E97" w:rsidRPr="00C75E97" w:rsidRDefault="00C75E97" w:rsidP="00E81EA3">
            <w:pPr>
              <w:widowControl/>
              <w:numPr>
                <w:ilvl w:val="0"/>
                <w:numId w:val="25"/>
              </w:numPr>
              <w:tabs>
                <w:tab w:val="left" w:pos="340"/>
              </w:tabs>
              <w:suppressAutoHyphens/>
              <w:ind w:left="340" w:hanging="340"/>
              <w:jc w:val="both"/>
              <w:rPr>
                <w:rFonts w:ascii="Arial" w:hAnsi="Arial" w:cs="Arial"/>
                <w:sz w:val="20"/>
              </w:rPr>
            </w:pPr>
            <w:r w:rsidRPr="00C75E97">
              <w:rPr>
                <w:rFonts w:ascii="Arial" w:hAnsi="Arial" w:cs="Arial"/>
                <w:sz w:val="20"/>
              </w:rPr>
              <w:t>5.12 moved to 5.9</w:t>
            </w:r>
          </w:p>
          <w:p w:rsidR="00C75E97" w:rsidRPr="00C75E97" w:rsidRDefault="00C75E97" w:rsidP="00E81EA3">
            <w:pPr>
              <w:widowControl/>
              <w:numPr>
                <w:ilvl w:val="0"/>
                <w:numId w:val="25"/>
              </w:numPr>
              <w:tabs>
                <w:tab w:val="left" w:pos="340"/>
              </w:tabs>
              <w:suppressAutoHyphens/>
              <w:ind w:left="340" w:hanging="340"/>
              <w:jc w:val="both"/>
              <w:rPr>
                <w:rFonts w:ascii="Arial" w:hAnsi="Arial" w:cs="Arial"/>
                <w:sz w:val="20"/>
              </w:rPr>
            </w:pPr>
            <w:r w:rsidRPr="00C75E97">
              <w:rPr>
                <w:rFonts w:ascii="Arial" w:hAnsi="Arial" w:cs="Arial"/>
                <w:sz w:val="20"/>
              </w:rPr>
              <w:t>5.14 deletion of “drug”</w:t>
            </w:r>
          </w:p>
          <w:p w:rsidR="00C75E97" w:rsidRPr="00C75E97" w:rsidRDefault="00C75E97" w:rsidP="00E81EA3">
            <w:pPr>
              <w:widowControl/>
              <w:numPr>
                <w:ilvl w:val="0"/>
                <w:numId w:val="25"/>
              </w:numPr>
              <w:tabs>
                <w:tab w:val="left" w:pos="340"/>
              </w:tabs>
              <w:suppressAutoHyphens/>
              <w:ind w:left="340" w:hanging="340"/>
              <w:jc w:val="both"/>
              <w:rPr>
                <w:rFonts w:ascii="Arial" w:hAnsi="Arial" w:cs="Arial"/>
                <w:i/>
                <w:sz w:val="20"/>
              </w:rPr>
            </w:pPr>
            <w:r w:rsidRPr="00C75E97">
              <w:rPr>
                <w:rFonts w:ascii="Arial" w:hAnsi="Arial" w:cs="Arial"/>
                <w:sz w:val="20"/>
              </w:rPr>
              <w:t>Addition of new contact details in Appendix 1</w:t>
            </w:r>
          </w:p>
          <w:p w:rsidR="00C75E97" w:rsidRPr="00C75E97" w:rsidRDefault="00C75E97" w:rsidP="00737AF2">
            <w:pPr>
              <w:widowControl/>
              <w:numPr>
                <w:ilvl w:val="0"/>
                <w:numId w:val="25"/>
              </w:numPr>
              <w:tabs>
                <w:tab w:val="left" w:pos="340"/>
              </w:tabs>
              <w:suppressAutoHyphens/>
              <w:spacing w:after="20"/>
              <w:ind w:left="340" w:hanging="340"/>
              <w:jc w:val="both"/>
              <w:rPr>
                <w:rFonts w:ascii="Arial" w:hAnsi="Arial" w:cs="Arial"/>
                <w:i/>
                <w:sz w:val="20"/>
              </w:rPr>
            </w:pPr>
            <w:r w:rsidRPr="00C75E97">
              <w:rPr>
                <w:rFonts w:ascii="Arial" w:hAnsi="Arial" w:cs="Arial"/>
                <w:sz w:val="20"/>
              </w:rPr>
              <w:t>Appendix 3 now Appendix 4</w:t>
            </w:r>
          </w:p>
        </w:tc>
        <w:tc>
          <w:tcPr>
            <w:tcW w:w="2515" w:type="dxa"/>
            <w:tcBorders>
              <w:bottom w:val="nil"/>
            </w:tcBorders>
          </w:tcPr>
          <w:p w:rsidR="00C75E97" w:rsidRPr="00C75E97" w:rsidRDefault="00C75E97" w:rsidP="009B7541">
            <w:pPr>
              <w:widowControl/>
              <w:suppressAutoHyphens/>
              <w:spacing w:before="80" w:after="40"/>
              <w:jc w:val="both"/>
              <w:rPr>
                <w:rFonts w:ascii="Arial" w:hAnsi="Arial" w:cs="Arial"/>
                <w:sz w:val="20"/>
              </w:rPr>
            </w:pPr>
            <w:r w:rsidRPr="00C75E97">
              <w:rPr>
                <w:rFonts w:ascii="Arial" w:hAnsi="Arial" w:cs="Arial"/>
                <w:sz w:val="20"/>
              </w:rPr>
              <w:t>Version 4 Nov 2015</w:t>
            </w:r>
          </w:p>
        </w:tc>
      </w:tr>
      <w:tr w:rsidR="00C75E97" w:rsidRPr="00E453B3" w:rsidTr="00D41032">
        <w:tc>
          <w:tcPr>
            <w:tcW w:w="1551" w:type="dxa"/>
            <w:tcBorders>
              <w:top w:val="dotted" w:sz="4" w:space="0" w:color="auto"/>
              <w:bottom w:val="dotted" w:sz="4" w:space="0" w:color="auto"/>
            </w:tcBorders>
          </w:tcPr>
          <w:p w:rsidR="00C75E97" w:rsidRPr="00C75E97" w:rsidRDefault="00C75E97" w:rsidP="00737AF2">
            <w:pPr>
              <w:widowControl/>
              <w:suppressAutoHyphens/>
              <w:spacing w:before="60" w:after="20"/>
              <w:jc w:val="both"/>
              <w:rPr>
                <w:rFonts w:ascii="Arial" w:hAnsi="Arial" w:cs="Arial"/>
                <w:sz w:val="20"/>
              </w:rPr>
            </w:pPr>
            <w:r w:rsidRPr="00C75E97">
              <w:rPr>
                <w:rFonts w:ascii="Arial" w:hAnsi="Arial" w:cs="Arial"/>
                <w:sz w:val="20"/>
              </w:rPr>
              <w:t>Nov 2015</w:t>
            </w:r>
          </w:p>
        </w:tc>
        <w:tc>
          <w:tcPr>
            <w:tcW w:w="5623" w:type="dxa"/>
            <w:tcBorders>
              <w:top w:val="dotted" w:sz="4" w:space="0" w:color="auto"/>
              <w:bottom w:val="dotted" w:sz="4" w:space="0" w:color="auto"/>
            </w:tcBorders>
          </w:tcPr>
          <w:p w:rsidR="00C75E97" w:rsidRPr="00C75E97" w:rsidRDefault="00C75E97" w:rsidP="00737AF2">
            <w:pPr>
              <w:widowControl/>
              <w:tabs>
                <w:tab w:val="left" w:pos="284"/>
              </w:tabs>
              <w:suppressAutoHyphens/>
              <w:spacing w:before="60" w:after="20"/>
              <w:ind w:left="568" w:hanging="284"/>
              <w:jc w:val="both"/>
              <w:rPr>
                <w:rFonts w:ascii="Arial" w:hAnsi="Arial" w:cs="Arial"/>
                <w:sz w:val="20"/>
              </w:rPr>
            </w:pPr>
            <w:r w:rsidRPr="00C75E97">
              <w:rPr>
                <w:rFonts w:ascii="Arial" w:hAnsi="Arial" w:cs="Arial"/>
                <w:sz w:val="20"/>
              </w:rPr>
              <w:t>Published for comment</w:t>
            </w:r>
          </w:p>
        </w:tc>
        <w:tc>
          <w:tcPr>
            <w:tcW w:w="2515" w:type="dxa"/>
            <w:tcBorders>
              <w:top w:val="nil"/>
              <w:bottom w:val="nil"/>
            </w:tcBorders>
          </w:tcPr>
          <w:p w:rsidR="00C75E97" w:rsidRPr="00C75E97" w:rsidRDefault="00C75E97" w:rsidP="00737AF2">
            <w:pPr>
              <w:widowControl/>
              <w:suppressAutoHyphens/>
              <w:spacing w:before="60" w:after="20"/>
              <w:jc w:val="both"/>
              <w:rPr>
                <w:rFonts w:ascii="Arial" w:hAnsi="Arial" w:cs="Arial"/>
                <w:sz w:val="20"/>
              </w:rPr>
            </w:pPr>
          </w:p>
        </w:tc>
      </w:tr>
      <w:tr w:rsidR="00C75E97" w:rsidRPr="00E453B3" w:rsidTr="00D41032">
        <w:tc>
          <w:tcPr>
            <w:tcW w:w="1551" w:type="dxa"/>
            <w:tcBorders>
              <w:top w:val="dotted" w:sz="4" w:space="0" w:color="auto"/>
              <w:bottom w:val="single" w:sz="4" w:space="0" w:color="auto"/>
            </w:tcBorders>
          </w:tcPr>
          <w:p w:rsidR="00C75E97" w:rsidRPr="00C75E97" w:rsidRDefault="00C75E97" w:rsidP="00737AF2">
            <w:pPr>
              <w:widowControl/>
              <w:suppressAutoHyphens/>
              <w:spacing w:before="60" w:after="20"/>
              <w:jc w:val="both"/>
              <w:rPr>
                <w:rFonts w:ascii="Arial" w:hAnsi="Arial" w:cs="Arial"/>
                <w:sz w:val="20"/>
              </w:rPr>
            </w:pPr>
            <w:r w:rsidRPr="00C75E97">
              <w:rPr>
                <w:rFonts w:ascii="Arial" w:hAnsi="Arial" w:cs="Arial"/>
                <w:sz w:val="20"/>
              </w:rPr>
              <w:t>18 Dec 2015</w:t>
            </w:r>
          </w:p>
        </w:tc>
        <w:tc>
          <w:tcPr>
            <w:tcW w:w="5623" w:type="dxa"/>
            <w:tcBorders>
              <w:top w:val="dotted" w:sz="4" w:space="0" w:color="auto"/>
              <w:bottom w:val="single" w:sz="4" w:space="0" w:color="auto"/>
            </w:tcBorders>
          </w:tcPr>
          <w:p w:rsidR="00C75E97" w:rsidRPr="00C75E97" w:rsidRDefault="00C75E97" w:rsidP="00737AF2">
            <w:pPr>
              <w:widowControl/>
              <w:tabs>
                <w:tab w:val="left" w:pos="284"/>
              </w:tabs>
              <w:suppressAutoHyphens/>
              <w:spacing w:before="60" w:after="20"/>
              <w:ind w:left="568" w:hanging="284"/>
              <w:jc w:val="both"/>
              <w:rPr>
                <w:rFonts w:ascii="Arial" w:hAnsi="Arial" w:cs="Arial"/>
                <w:sz w:val="20"/>
              </w:rPr>
            </w:pPr>
            <w:r w:rsidRPr="00C75E97">
              <w:rPr>
                <w:rFonts w:ascii="Arial" w:hAnsi="Arial" w:cs="Arial"/>
                <w:sz w:val="20"/>
              </w:rPr>
              <w:t>Deadline for comment</w:t>
            </w:r>
          </w:p>
        </w:tc>
        <w:tc>
          <w:tcPr>
            <w:tcW w:w="2515" w:type="dxa"/>
            <w:tcBorders>
              <w:top w:val="nil"/>
              <w:bottom w:val="single" w:sz="4" w:space="0" w:color="auto"/>
            </w:tcBorders>
          </w:tcPr>
          <w:p w:rsidR="00C75E97" w:rsidRPr="00C75E97" w:rsidRDefault="00C75E97" w:rsidP="00737AF2">
            <w:pPr>
              <w:widowControl/>
              <w:suppressAutoHyphens/>
              <w:spacing w:before="60" w:after="20"/>
              <w:jc w:val="both"/>
              <w:rPr>
                <w:rFonts w:ascii="Arial" w:hAnsi="Arial" w:cs="Arial"/>
                <w:sz w:val="20"/>
              </w:rPr>
            </w:pPr>
          </w:p>
        </w:tc>
      </w:tr>
      <w:tr w:rsidR="00915A87" w:rsidRPr="00E453B3" w:rsidTr="00D26C39">
        <w:tc>
          <w:tcPr>
            <w:tcW w:w="1551" w:type="dxa"/>
            <w:tcBorders>
              <w:top w:val="single" w:sz="4" w:space="0" w:color="auto"/>
              <w:bottom w:val="nil"/>
            </w:tcBorders>
          </w:tcPr>
          <w:p w:rsidR="00915A87" w:rsidRPr="00A35FE1" w:rsidRDefault="00CC6CAB" w:rsidP="00D26C39">
            <w:pPr>
              <w:widowControl/>
              <w:suppressAutoHyphens/>
              <w:spacing w:before="80" w:after="40"/>
              <w:jc w:val="both"/>
              <w:rPr>
                <w:rFonts w:ascii="Arial" w:hAnsi="Arial" w:cs="Arial"/>
                <w:sz w:val="20"/>
              </w:rPr>
            </w:pPr>
            <w:r>
              <w:rPr>
                <w:rFonts w:ascii="Arial" w:hAnsi="Arial" w:cs="Arial"/>
                <w:sz w:val="20"/>
              </w:rPr>
              <w:t>Ju</w:t>
            </w:r>
            <w:r w:rsidR="00D26C39">
              <w:rPr>
                <w:rFonts w:ascii="Arial" w:hAnsi="Arial" w:cs="Arial"/>
                <w:sz w:val="20"/>
              </w:rPr>
              <w:t xml:space="preserve">ly </w:t>
            </w:r>
            <w:r w:rsidR="00915A87" w:rsidRPr="00A35FE1">
              <w:rPr>
                <w:rFonts w:ascii="Arial" w:hAnsi="Arial" w:cs="Arial"/>
                <w:sz w:val="20"/>
              </w:rPr>
              <w:t>2016</w:t>
            </w:r>
          </w:p>
        </w:tc>
        <w:tc>
          <w:tcPr>
            <w:tcW w:w="5623" w:type="dxa"/>
            <w:tcBorders>
              <w:top w:val="single" w:sz="4" w:space="0" w:color="auto"/>
              <w:bottom w:val="dotted" w:sz="4" w:space="0" w:color="auto"/>
            </w:tcBorders>
          </w:tcPr>
          <w:p w:rsidR="00E81EA3" w:rsidRDefault="00E81EA3" w:rsidP="001D1372">
            <w:pPr>
              <w:widowControl/>
              <w:tabs>
                <w:tab w:val="left" w:pos="284"/>
              </w:tabs>
              <w:suppressAutoHyphens/>
              <w:spacing w:before="80"/>
              <w:jc w:val="both"/>
              <w:rPr>
                <w:rFonts w:ascii="Arial" w:hAnsi="Arial" w:cs="Arial"/>
                <w:sz w:val="20"/>
              </w:rPr>
            </w:pPr>
            <w:r>
              <w:rPr>
                <w:rFonts w:ascii="Arial" w:hAnsi="Arial" w:cs="Arial"/>
                <w:sz w:val="20"/>
              </w:rPr>
              <w:t>Change in title</w:t>
            </w:r>
          </w:p>
          <w:p w:rsidR="001D1372" w:rsidRDefault="00CC6CAB" w:rsidP="00E453B3">
            <w:pPr>
              <w:widowControl/>
              <w:tabs>
                <w:tab w:val="left" w:pos="284"/>
              </w:tabs>
              <w:suppressAutoHyphens/>
              <w:spacing w:before="40"/>
              <w:jc w:val="both"/>
              <w:rPr>
                <w:rFonts w:ascii="Arial" w:hAnsi="Arial" w:cs="Arial"/>
                <w:sz w:val="20"/>
              </w:rPr>
            </w:pPr>
            <w:r>
              <w:rPr>
                <w:rFonts w:ascii="Arial" w:hAnsi="Arial" w:cs="Arial"/>
                <w:sz w:val="20"/>
              </w:rPr>
              <w:t>Retention of “applicant”</w:t>
            </w:r>
            <w:r w:rsidR="00E81EA3">
              <w:rPr>
                <w:rFonts w:ascii="Arial" w:hAnsi="Arial" w:cs="Arial"/>
                <w:sz w:val="20"/>
              </w:rPr>
              <w:t xml:space="preserve">; </w:t>
            </w:r>
            <w:r w:rsidR="001D1372">
              <w:rPr>
                <w:rFonts w:ascii="Arial" w:hAnsi="Arial" w:cs="Arial"/>
                <w:sz w:val="20"/>
              </w:rPr>
              <w:t>Replacement of "medicinal product" with "medicine"</w:t>
            </w:r>
            <w:r w:rsidR="00E81EA3">
              <w:rPr>
                <w:rFonts w:ascii="Arial" w:hAnsi="Arial" w:cs="Arial"/>
                <w:sz w:val="20"/>
              </w:rPr>
              <w:t xml:space="preserve">, </w:t>
            </w:r>
            <w:r w:rsidR="008442D3" w:rsidRPr="00064C8F">
              <w:rPr>
                <w:rFonts w:ascii="Arial" w:hAnsi="Arial" w:cs="Arial"/>
                <w:sz w:val="20"/>
              </w:rPr>
              <w:t>and</w:t>
            </w:r>
            <w:r w:rsidR="008442D3" w:rsidRPr="00BE38B3">
              <w:rPr>
                <w:rFonts w:ascii="Arial" w:hAnsi="Arial" w:cs="Arial"/>
                <w:color w:val="1F497D" w:themeColor="text2"/>
                <w:sz w:val="20"/>
              </w:rPr>
              <w:t xml:space="preserve"> "</w:t>
            </w:r>
            <w:r w:rsidR="008442D3" w:rsidRPr="00064C8F">
              <w:rPr>
                <w:rFonts w:ascii="Arial" w:hAnsi="Arial" w:cs="Arial"/>
                <w:sz w:val="20"/>
              </w:rPr>
              <w:t>authority</w:t>
            </w:r>
            <w:r w:rsidR="008442D3" w:rsidRPr="00BE38B3">
              <w:rPr>
                <w:rFonts w:ascii="Arial" w:hAnsi="Arial" w:cs="Arial"/>
                <w:color w:val="1F497D" w:themeColor="text2"/>
                <w:sz w:val="20"/>
              </w:rPr>
              <w:t xml:space="preserve">" </w:t>
            </w:r>
            <w:r w:rsidR="008442D3" w:rsidRPr="00064C8F">
              <w:rPr>
                <w:rFonts w:ascii="Arial" w:hAnsi="Arial" w:cs="Arial"/>
                <w:sz w:val="20"/>
              </w:rPr>
              <w:t>with</w:t>
            </w:r>
            <w:r w:rsidR="008442D3" w:rsidRPr="00BE38B3">
              <w:rPr>
                <w:rFonts w:ascii="Arial" w:hAnsi="Arial" w:cs="Arial"/>
                <w:color w:val="1F497D" w:themeColor="text2"/>
                <w:sz w:val="20"/>
              </w:rPr>
              <w:t xml:space="preserve"> "</w:t>
            </w:r>
            <w:r w:rsidR="008442D3" w:rsidRPr="00064C8F">
              <w:rPr>
                <w:rFonts w:ascii="Arial" w:hAnsi="Arial" w:cs="Arial"/>
                <w:sz w:val="20"/>
              </w:rPr>
              <w:t>SAHPRA</w:t>
            </w:r>
            <w:r w:rsidR="001C4530">
              <w:rPr>
                <w:rFonts w:ascii="Arial" w:hAnsi="Arial" w:cs="Arial"/>
                <w:sz w:val="20"/>
              </w:rPr>
              <w:t>"</w:t>
            </w:r>
          </w:p>
          <w:p w:rsidR="00B12E00" w:rsidRDefault="00B12E00" w:rsidP="00E453B3">
            <w:pPr>
              <w:widowControl/>
              <w:tabs>
                <w:tab w:val="left" w:pos="284"/>
              </w:tabs>
              <w:suppressAutoHyphens/>
              <w:spacing w:before="40"/>
              <w:jc w:val="both"/>
              <w:rPr>
                <w:rFonts w:ascii="Arial" w:hAnsi="Arial" w:cs="Arial"/>
                <w:sz w:val="20"/>
              </w:rPr>
            </w:pPr>
            <w:r>
              <w:rPr>
                <w:rFonts w:ascii="Arial" w:hAnsi="Arial" w:cs="Arial"/>
                <w:sz w:val="20"/>
              </w:rPr>
              <w:t>Swop over of sections 4 and 5</w:t>
            </w:r>
          </w:p>
          <w:p w:rsidR="00E81EA3" w:rsidRDefault="00B50393" w:rsidP="00E453B3">
            <w:pPr>
              <w:widowControl/>
              <w:tabs>
                <w:tab w:val="left" w:pos="284"/>
              </w:tabs>
              <w:suppressAutoHyphens/>
              <w:spacing w:before="40"/>
              <w:jc w:val="both"/>
              <w:rPr>
                <w:rFonts w:ascii="Arial" w:hAnsi="Arial" w:cs="Arial"/>
                <w:sz w:val="20"/>
              </w:rPr>
            </w:pPr>
            <w:r w:rsidRPr="00A35FE1">
              <w:rPr>
                <w:rFonts w:ascii="Arial" w:hAnsi="Arial" w:cs="Arial"/>
                <w:sz w:val="20"/>
              </w:rPr>
              <w:t xml:space="preserve">Amendment of </w:t>
            </w:r>
            <w:r w:rsidR="00E81EA3">
              <w:rPr>
                <w:rFonts w:ascii="Arial" w:hAnsi="Arial" w:cs="Arial"/>
                <w:sz w:val="20"/>
              </w:rPr>
              <w:t>sections 1, 2.2-4, 2.6-7, 2.9, 2.12, 2.14</w:t>
            </w:r>
          </w:p>
          <w:p w:rsidR="00E81EA3" w:rsidRDefault="00E81EA3" w:rsidP="00E81EA3">
            <w:pPr>
              <w:widowControl/>
              <w:tabs>
                <w:tab w:val="left" w:pos="284"/>
              </w:tabs>
              <w:suppressAutoHyphens/>
              <w:jc w:val="both"/>
              <w:rPr>
                <w:rFonts w:ascii="Arial" w:hAnsi="Arial" w:cs="Arial"/>
                <w:sz w:val="20"/>
              </w:rPr>
            </w:pPr>
            <w:r>
              <w:rPr>
                <w:rFonts w:ascii="Arial" w:hAnsi="Arial" w:cs="Arial"/>
                <w:sz w:val="20"/>
              </w:rPr>
              <w:t>3.1-2, 4.1-4, 4.6-7, 4.9-10, 4.15-16</w:t>
            </w:r>
          </w:p>
          <w:p w:rsidR="00915A87" w:rsidRPr="00A35FE1" w:rsidRDefault="00E81EA3" w:rsidP="00737AF2">
            <w:pPr>
              <w:widowControl/>
              <w:tabs>
                <w:tab w:val="left" w:pos="284"/>
              </w:tabs>
              <w:suppressAutoHyphens/>
              <w:spacing w:after="20"/>
              <w:jc w:val="both"/>
              <w:rPr>
                <w:rFonts w:ascii="Arial" w:hAnsi="Arial" w:cs="Arial"/>
                <w:sz w:val="20"/>
              </w:rPr>
            </w:pPr>
            <w:r>
              <w:rPr>
                <w:rFonts w:ascii="Arial" w:hAnsi="Arial" w:cs="Arial"/>
                <w:sz w:val="20"/>
              </w:rPr>
              <w:t xml:space="preserve">5.1, 5.3, 5.6, 5.6.1, 8; </w:t>
            </w:r>
            <w:r w:rsidR="00B50393" w:rsidRPr="00A35FE1">
              <w:rPr>
                <w:rFonts w:ascii="Arial" w:hAnsi="Arial" w:cs="Arial"/>
                <w:sz w:val="20"/>
              </w:rPr>
              <w:t xml:space="preserve">Appendix </w:t>
            </w:r>
            <w:r w:rsidR="001D1372">
              <w:rPr>
                <w:rFonts w:ascii="Arial" w:hAnsi="Arial" w:cs="Arial"/>
                <w:sz w:val="20"/>
              </w:rPr>
              <w:t>2, 3, 4</w:t>
            </w:r>
            <w:r w:rsidR="00B50393" w:rsidRPr="00A35FE1">
              <w:rPr>
                <w:rFonts w:ascii="Arial" w:hAnsi="Arial" w:cs="Arial"/>
                <w:sz w:val="20"/>
              </w:rPr>
              <w:t>.</w:t>
            </w:r>
          </w:p>
        </w:tc>
        <w:tc>
          <w:tcPr>
            <w:tcW w:w="2515" w:type="dxa"/>
            <w:tcBorders>
              <w:top w:val="single" w:sz="4" w:space="0" w:color="auto"/>
              <w:bottom w:val="nil"/>
            </w:tcBorders>
          </w:tcPr>
          <w:p w:rsidR="00915A87" w:rsidRPr="00A35FE1" w:rsidRDefault="00915A87" w:rsidP="00D26C39">
            <w:pPr>
              <w:widowControl/>
              <w:suppressAutoHyphens/>
              <w:spacing w:before="80" w:after="40"/>
              <w:jc w:val="both"/>
              <w:rPr>
                <w:rFonts w:ascii="Arial" w:hAnsi="Arial" w:cs="Arial"/>
                <w:sz w:val="20"/>
              </w:rPr>
            </w:pPr>
            <w:r w:rsidRPr="00A35FE1">
              <w:rPr>
                <w:rFonts w:ascii="Arial" w:hAnsi="Arial" w:cs="Arial"/>
                <w:sz w:val="20"/>
              </w:rPr>
              <w:t xml:space="preserve">Version 4 </w:t>
            </w:r>
            <w:r w:rsidR="00D26C39">
              <w:rPr>
                <w:rFonts w:ascii="Arial" w:hAnsi="Arial" w:cs="Arial"/>
                <w:sz w:val="20"/>
              </w:rPr>
              <w:t>Sept</w:t>
            </w:r>
            <w:r w:rsidRPr="00A35FE1">
              <w:rPr>
                <w:rFonts w:ascii="Arial" w:hAnsi="Arial" w:cs="Arial"/>
                <w:sz w:val="20"/>
              </w:rPr>
              <w:t xml:space="preserve"> 2016</w:t>
            </w:r>
          </w:p>
        </w:tc>
      </w:tr>
      <w:tr w:rsidR="00B50393" w:rsidRPr="00E453B3" w:rsidTr="00737AF2">
        <w:tc>
          <w:tcPr>
            <w:tcW w:w="1551" w:type="dxa"/>
            <w:tcBorders>
              <w:top w:val="nil"/>
              <w:bottom w:val="single" w:sz="4" w:space="0" w:color="auto"/>
            </w:tcBorders>
          </w:tcPr>
          <w:p w:rsidR="00B50393" w:rsidRPr="00A35FE1" w:rsidRDefault="00B50393" w:rsidP="00737AF2">
            <w:pPr>
              <w:widowControl/>
              <w:suppressAutoHyphens/>
              <w:spacing w:before="60" w:after="20"/>
              <w:jc w:val="both"/>
              <w:rPr>
                <w:rFonts w:ascii="Arial" w:hAnsi="Arial" w:cs="Arial"/>
                <w:sz w:val="20"/>
              </w:rPr>
            </w:pPr>
          </w:p>
        </w:tc>
        <w:tc>
          <w:tcPr>
            <w:tcW w:w="5623" w:type="dxa"/>
            <w:tcBorders>
              <w:top w:val="dotted" w:sz="4" w:space="0" w:color="auto"/>
              <w:bottom w:val="single" w:sz="4" w:space="0" w:color="auto"/>
            </w:tcBorders>
          </w:tcPr>
          <w:p w:rsidR="00B50393" w:rsidRPr="00A35FE1" w:rsidRDefault="00B50393" w:rsidP="00737AF2">
            <w:pPr>
              <w:widowControl/>
              <w:tabs>
                <w:tab w:val="left" w:pos="284"/>
              </w:tabs>
              <w:suppressAutoHyphens/>
              <w:spacing w:before="60" w:after="20"/>
              <w:ind w:left="568" w:hanging="284"/>
              <w:jc w:val="both"/>
              <w:rPr>
                <w:rFonts w:ascii="Arial" w:hAnsi="Arial" w:cs="Arial"/>
                <w:sz w:val="20"/>
              </w:rPr>
            </w:pPr>
            <w:r w:rsidRPr="00A35FE1">
              <w:rPr>
                <w:rFonts w:ascii="Arial" w:hAnsi="Arial" w:cs="Arial"/>
                <w:sz w:val="20"/>
              </w:rPr>
              <w:t>Published for implementation</w:t>
            </w:r>
          </w:p>
        </w:tc>
        <w:tc>
          <w:tcPr>
            <w:tcW w:w="2515" w:type="dxa"/>
            <w:tcBorders>
              <w:top w:val="nil"/>
              <w:bottom w:val="single" w:sz="4" w:space="0" w:color="auto"/>
            </w:tcBorders>
          </w:tcPr>
          <w:p w:rsidR="00B50393" w:rsidRPr="00A35FE1" w:rsidRDefault="00B50393" w:rsidP="00737AF2">
            <w:pPr>
              <w:widowControl/>
              <w:suppressAutoHyphens/>
              <w:spacing w:before="60" w:after="20"/>
              <w:jc w:val="both"/>
              <w:rPr>
                <w:rFonts w:ascii="Arial" w:hAnsi="Arial" w:cs="Arial"/>
                <w:sz w:val="20"/>
              </w:rPr>
            </w:pPr>
          </w:p>
        </w:tc>
      </w:tr>
      <w:tr w:rsidR="00BA6D48" w:rsidRPr="00E453B3" w:rsidTr="00737AF2">
        <w:tc>
          <w:tcPr>
            <w:tcW w:w="1551" w:type="dxa"/>
            <w:tcBorders>
              <w:top w:val="single" w:sz="4" w:space="0" w:color="auto"/>
              <w:bottom w:val="single" w:sz="4" w:space="0" w:color="auto"/>
            </w:tcBorders>
          </w:tcPr>
          <w:p w:rsidR="00BA6D48" w:rsidRPr="006A1579" w:rsidRDefault="003F4EBF" w:rsidP="009B7541">
            <w:pPr>
              <w:widowControl/>
              <w:suppressAutoHyphens/>
              <w:spacing w:before="80" w:after="40"/>
              <w:jc w:val="both"/>
              <w:rPr>
                <w:rFonts w:ascii="Arial" w:hAnsi="Arial" w:cs="Arial"/>
                <w:sz w:val="20"/>
              </w:rPr>
            </w:pPr>
            <w:r w:rsidRPr="006A1579">
              <w:rPr>
                <w:rFonts w:ascii="Arial" w:hAnsi="Arial" w:cs="Arial"/>
                <w:sz w:val="20"/>
              </w:rPr>
              <w:t>July</w:t>
            </w:r>
            <w:r w:rsidR="00BA6D48" w:rsidRPr="006A1579">
              <w:rPr>
                <w:rFonts w:ascii="Arial" w:hAnsi="Arial" w:cs="Arial"/>
                <w:sz w:val="20"/>
              </w:rPr>
              <w:t xml:space="preserve"> 2016</w:t>
            </w:r>
          </w:p>
        </w:tc>
        <w:tc>
          <w:tcPr>
            <w:tcW w:w="5623" w:type="dxa"/>
            <w:tcBorders>
              <w:top w:val="single" w:sz="4" w:space="0" w:color="auto"/>
              <w:bottom w:val="single" w:sz="4" w:space="0" w:color="auto"/>
            </w:tcBorders>
          </w:tcPr>
          <w:p w:rsidR="00BA6D48" w:rsidRPr="006A1579" w:rsidRDefault="001B5FA9" w:rsidP="00BA6D48">
            <w:pPr>
              <w:widowControl/>
              <w:tabs>
                <w:tab w:val="left" w:pos="284"/>
              </w:tabs>
              <w:suppressAutoHyphens/>
              <w:spacing w:before="80" w:after="40"/>
              <w:ind w:left="568" w:hanging="568"/>
              <w:jc w:val="both"/>
              <w:rPr>
                <w:rFonts w:ascii="Arial" w:hAnsi="Arial" w:cs="Arial"/>
                <w:sz w:val="20"/>
              </w:rPr>
            </w:pPr>
            <w:r w:rsidRPr="006A1579">
              <w:rPr>
                <w:rFonts w:ascii="Arial" w:hAnsi="Arial" w:cs="Arial"/>
                <w:sz w:val="20"/>
              </w:rPr>
              <w:t>Correction</w:t>
            </w:r>
            <w:r w:rsidR="00BA6D48" w:rsidRPr="006A1579">
              <w:rPr>
                <w:rFonts w:ascii="Arial" w:hAnsi="Arial" w:cs="Arial"/>
                <w:sz w:val="20"/>
              </w:rPr>
              <w:t xml:space="preserve"> of sections 4.1, 5.6.1 and Appendix 3 </w:t>
            </w:r>
          </w:p>
        </w:tc>
        <w:tc>
          <w:tcPr>
            <w:tcW w:w="2515" w:type="dxa"/>
            <w:tcBorders>
              <w:top w:val="single" w:sz="4" w:space="0" w:color="auto"/>
              <w:bottom w:val="single" w:sz="4" w:space="0" w:color="auto"/>
            </w:tcBorders>
          </w:tcPr>
          <w:p w:rsidR="00BA6D48" w:rsidRPr="006A1579" w:rsidRDefault="00BA6D48" w:rsidP="009B7541">
            <w:pPr>
              <w:widowControl/>
              <w:suppressAutoHyphens/>
              <w:spacing w:before="80" w:after="40"/>
              <w:jc w:val="both"/>
              <w:rPr>
                <w:rFonts w:ascii="Arial" w:hAnsi="Arial" w:cs="Arial"/>
                <w:sz w:val="20"/>
              </w:rPr>
            </w:pPr>
            <w:r w:rsidRPr="006A1579">
              <w:rPr>
                <w:rFonts w:ascii="Arial" w:hAnsi="Arial" w:cs="Arial"/>
                <w:sz w:val="20"/>
              </w:rPr>
              <w:t>Version 4.1 Nov 2016</w:t>
            </w:r>
          </w:p>
        </w:tc>
      </w:tr>
      <w:tr w:rsidR="00E453B3" w:rsidRPr="00A35FE1" w:rsidTr="00E453B3">
        <w:tc>
          <w:tcPr>
            <w:tcW w:w="1551" w:type="dxa"/>
            <w:tcBorders>
              <w:top w:val="nil"/>
              <w:bottom w:val="single" w:sz="4" w:space="0" w:color="auto"/>
            </w:tcBorders>
          </w:tcPr>
          <w:p w:rsidR="00E453B3" w:rsidRPr="00A35FE1" w:rsidRDefault="00E453B3" w:rsidP="00E453B3">
            <w:pPr>
              <w:widowControl/>
              <w:suppressAutoHyphens/>
              <w:spacing w:before="60" w:after="20"/>
              <w:jc w:val="both"/>
              <w:rPr>
                <w:rFonts w:ascii="Arial" w:hAnsi="Arial" w:cs="Arial"/>
                <w:sz w:val="20"/>
              </w:rPr>
            </w:pPr>
          </w:p>
        </w:tc>
        <w:tc>
          <w:tcPr>
            <w:tcW w:w="5623" w:type="dxa"/>
            <w:tcBorders>
              <w:top w:val="dotted" w:sz="4" w:space="0" w:color="auto"/>
              <w:bottom w:val="single" w:sz="4" w:space="0" w:color="auto"/>
            </w:tcBorders>
          </w:tcPr>
          <w:p w:rsidR="00E453B3" w:rsidRPr="00A35FE1" w:rsidRDefault="00E453B3" w:rsidP="00E453B3">
            <w:pPr>
              <w:widowControl/>
              <w:tabs>
                <w:tab w:val="left" w:pos="284"/>
              </w:tabs>
              <w:suppressAutoHyphens/>
              <w:spacing w:before="60" w:after="20"/>
              <w:ind w:left="568" w:hanging="284"/>
              <w:jc w:val="both"/>
              <w:rPr>
                <w:rFonts w:ascii="Arial" w:hAnsi="Arial" w:cs="Arial"/>
                <w:sz w:val="20"/>
              </w:rPr>
            </w:pPr>
            <w:r w:rsidRPr="00A35FE1">
              <w:rPr>
                <w:rFonts w:ascii="Arial" w:hAnsi="Arial" w:cs="Arial"/>
                <w:sz w:val="20"/>
              </w:rPr>
              <w:t>Published for implementation</w:t>
            </w:r>
          </w:p>
        </w:tc>
        <w:tc>
          <w:tcPr>
            <w:tcW w:w="2515" w:type="dxa"/>
            <w:tcBorders>
              <w:top w:val="nil"/>
              <w:bottom w:val="single" w:sz="4" w:space="0" w:color="auto"/>
            </w:tcBorders>
          </w:tcPr>
          <w:p w:rsidR="00E453B3" w:rsidRPr="00A35FE1" w:rsidRDefault="00E453B3" w:rsidP="00E453B3">
            <w:pPr>
              <w:widowControl/>
              <w:suppressAutoHyphens/>
              <w:spacing w:before="60" w:after="20"/>
              <w:jc w:val="both"/>
              <w:rPr>
                <w:rFonts w:ascii="Arial" w:hAnsi="Arial" w:cs="Arial"/>
                <w:sz w:val="20"/>
              </w:rPr>
            </w:pPr>
          </w:p>
        </w:tc>
      </w:tr>
      <w:tr w:rsidR="005B1A24" w:rsidRPr="00174878" w:rsidTr="005D1F97">
        <w:tc>
          <w:tcPr>
            <w:tcW w:w="1551" w:type="dxa"/>
          </w:tcPr>
          <w:p w:rsidR="005B1A24" w:rsidRPr="00370D19" w:rsidRDefault="002F19E0" w:rsidP="002F19E0">
            <w:pPr>
              <w:widowControl/>
              <w:suppressAutoHyphens/>
              <w:spacing w:before="80" w:after="40"/>
              <w:jc w:val="both"/>
              <w:rPr>
                <w:rFonts w:ascii="Arial" w:hAnsi="Arial" w:cs="Arial"/>
                <w:sz w:val="20"/>
              </w:rPr>
            </w:pPr>
            <w:r w:rsidRPr="00370D19">
              <w:rPr>
                <w:rFonts w:ascii="Arial" w:hAnsi="Arial" w:cs="Arial"/>
                <w:sz w:val="20"/>
              </w:rPr>
              <w:lastRenderedPageBreak/>
              <w:t>June</w:t>
            </w:r>
            <w:r w:rsidR="005B1A24" w:rsidRPr="00370D19">
              <w:rPr>
                <w:rFonts w:ascii="Arial" w:hAnsi="Arial" w:cs="Arial"/>
                <w:sz w:val="20"/>
              </w:rPr>
              <w:t xml:space="preserve"> 2017</w:t>
            </w:r>
          </w:p>
        </w:tc>
        <w:tc>
          <w:tcPr>
            <w:tcW w:w="5623" w:type="dxa"/>
          </w:tcPr>
          <w:p w:rsidR="00E45AB3" w:rsidRPr="00370D19" w:rsidRDefault="00E45AB3" w:rsidP="00E45AB3">
            <w:pPr>
              <w:widowControl/>
              <w:tabs>
                <w:tab w:val="left" w:pos="217"/>
              </w:tabs>
              <w:suppressAutoHyphens/>
              <w:spacing w:before="80" w:after="40"/>
              <w:ind w:left="217" w:hanging="217"/>
              <w:jc w:val="both"/>
              <w:rPr>
                <w:rFonts w:ascii="Arial" w:hAnsi="Arial" w:cs="Arial"/>
                <w:sz w:val="20"/>
              </w:rPr>
            </w:pPr>
            <w:r w:rsidRPr="00370D19">
              <w:rPr>
                <w:rFonts w:ascii="Arial" w:hAnsi="Arial" w:cs="Arial"/>
                <w:sz w:val="20"/>
              </w:rPr>
              <w:t>1. Deletion of "as well as unregistered medicines being used under section 21 of Act 101 (1965)" in 2.2</w:t>
            </w:r>
          </w:p>
          <w:p w:rsidR="00E45AB3" w:rsidRPr="00370D19" w:rsidRDefault="00E45AB3" w:rsidP="00E45AB3">
            <w:pPr>
              <w:widowControl/>
              <w:tabs>
                <w:tab w:val="left" w:pos="340"/>
              </w:tabs>
              <w:suppressAutoHyphens/>
              <w:spacing w:before="80" w:after="40"/>
              <w:ind w:left="217" w:hanging="217"/>
              <w:jc w:val="both"/>
              <w:rPr>
                <w:rFonts w:ascii="Arial" w:hAnsi="Arial" w:cs="Arial"/>
                <w:sz w:val="20"/>
              </w:rPr>
            </w:pPr>
            <w:r w:rsidRPr="00370D19">
              <w:rPr>
                <w:rFonts w:ascii="Arial" w:hAnsi="Arial" w:cs="Arial"/>
                <w:sz w:val="20"/>
              </w:rPr>
              <w:t>2. Replacement of "formulation" with "dosage form" in 2.10 &amp; 4.4 (iv)</w:t>
            </w:r>
          </w:p>
          <w:p w:rsidR="00E45AB3" w:rsidRPr="00370D19" w:rsidRDefault="00E45AB3" w:rsidP="00E45AB3">
            <w:pPr>
              <w:widowControl/>
              <w:tabs>
                <w:tab w:val="left" w:pos="340"/>
              </w:tabs>
              <w:suppressAutoHyphens/>
              <w:spacing w:before="80" w:after="40"/>
              <w:ind w:left="340" w:hanging="340"/>
              <w:jc w:val="both"/>
              <w:rPr>
                <w:rFonts w:ascii="Arial" w:hAnsi="Arial" w:cs="Arial"/>
                <w:sz w:val="20"/>
              </w:rPr>
            </w:pPr>
            <w:r w:rsidRPr="00370D19">
              <w:rPr>
                <w:rFonts w:ascii="Arial" w:hAnsi="Arial" w:cs="Arial"/>
                <w:sz w:val="20"/>
              </w:rPr>
              <w:t>3. Deletion of "holder or applicant" in 3.1 (ii)</w:t>
            </w:r>
          </w:p>
          <w:p w:rsidR="00E45AB3" w:rsidRPr="00370D19" w:rsidRDefault="00E45AB3" w:rsidP="00E45AB3">
            <w:pPr>
              <w:widowControl/>
              <w:tabs>
                <w:tab w:val="left" w:pos="467"/>
              </w:tabs>
              <w:suppressAutoHyphens/>
              <w:spacing w:before="80" w:after="40"/>
              <w:ind w:left="340" w:hanging="340"/>
              <w:jc w:val="both"/>
              <w:rPr>
                <w:rFonts w:ascii="Arial" w:hAnsi="Arial" w:cs="Arial"/>
                <w:sz w:val="20"/>
              </w:rPr>
            </w:pPr>
            <w:r w:rsidRPr="00370D19">
              <w:rPr>
                <w:rFonts w:ascii="Arial" w:hAnsi="Arial" w:cs="Arial"/>
                <w:sz w:val="20"/>
              </w:rPr>
              <w:t xml:space="preserve">4. Amendment of 4.1 (ii) </w:t>
            </w:r>
          </w:p>
          <w:p w:rsidR="00E45AB3" w:rsidRPr="00370D19" w:rsidRDefault="00E45AB3" w:rsidP="00E45AB3">
            <w:pPr>
              <w:widowControl/>
              <w:tabs>
                <w:tab w:val="left" w:pos="340"/>
              </w:tabs>
              <w:suppressAutoHyphens/>
              <w:spacing w:before="80" w:after="40"/>
              <w:ind w:left="340" w:hanging="340"/>
              <w:jc w:val="both"/>
              <w:rPr>
                <w:rFonts w:ascii="Arial" w:hAnsi="Arial" w:cs="Arial"/>
                <w:sz w:val="20"/>
              </w:rPr>
            </w:pPr>
            <w:r w:rsidRPr="00370D19">
              <w:rPr>
                <w:rFonts w:ascii="Arial" w:hAnsi="Arial" w:cs="Arial"/>
                <w:sz w:val="20"/>
              </w:rPr>
              <w:t xml:space="preserve">5. Replacement of "five (5)" days with "three (3)" in 4.2 (ii)   </w:t>
            </w:r>
          </w:p>
          <w:p w:rsidR="00E45AB3" w:rsidRPr="00370D19" w:rsidRDefault="00E45AB3" w:rsidP="00E45AB3">
            <w:pPr>
              <w:widowControl/>
              <w:tabs>
                <w:tab w:val="left" w:pos="340"/>
              </w:tabs>
              <w:suppressAutoHyphens/>
              <w:spacing w:before="80" w:after="40"/>
              <w:ind w:left="340" w:hanging="340"/>
              <w:jc w:val="both"/>
              <w:rPr>
                <w:rFonts w:ascii="Arial" w:hAnsi="Arial" w:cs="Arial"/>
                <w:sz w:val="20"/>
              </w:rPr>
            </w:pPr>
            <w:r w:rsidRPr="00370D19">
              <w:rPr>
                <w:rFonts w:ascii="Arial" w:hAnsi="Arial" w:cs="Arial"/>
                <w:sz w:val="20"/>
              </w:rPr>
              <w:t>6. Deletion of "such as biometrics personnel" in 4.5 (v)</w:t>
            </w:r>
          </w:p>
          <w:p w:rsidR="00E45AB3" w:rsidRPr="00370D19" w:rsidRDefault="00E45AB3" w:rsidP="00E45AB3">
            <w:pPr>
              <w:widowControl/>
              <w:tabs>
                <w:tab w:val="left" w:pos="217"/>
              </w:tabs>
              <w:suppressAutoHyphens/>
              <w:spacing w:before="80" w:after="40"/>
              <w:ind w:left="217" w:hanging="217"/>
              <w:jc w:val="both"/>
              <w:rPr>
                <w:rFonts w:ascii="Arial" w:hAnsi="Arial" w:cs="Arial"/>
                <w:sz w:val="20"/>
              </w:rPr>
            </w:pPr>
            <w:r w:rsidRPr="00370D19">
              <w:rPr>
                <w:rFonts w:ascii="Arial" w:hAnsi="Arial" w:cs="Arial"/>
                <w:sz w:val="20"/>
              </w:rPr>
              <w:t>7. Replacement of "15 calendar days" with "3 Calendar days" in 4.6 (ii)</w:t>
            </w:r>
          </w:p>
          <w:p w:rsidR="00E45AB3" w:rsidRPr="00370D19" w:rsidRDefault="00E45AB3" w:rsidP="00E45AB3">
            <w:pPr>
              <w:widowControl/>
              <w:tabs>
                <w:tab w:val="left" w:pos="340"/>
              </w:tabs>
              <w:suppressAutoHyphens/>
              <w:spacing w:before="80" w:after="40"/>
              <w:ind w:left="340" w:hanging="340"/>
              <w:jc w:val="both"/>
              <w:rPr>
                <w:rFonts w:ascii="Arial" w:hAnsi="Arial" w:cs="Arial"/>
                <w:sz w:val="20"/>
              </w:rPr>
            </w:pPr>
            <w:r w:rsidRPr="00370D19">
              <w:rPr>
                <w:rFonts w:ascii="Arial" w:hAnsi="Arial" w:cs="Arial"/>
                <w:sz w:val="20"/>
              </w:rPr>
              <w:t>8.  Addition of "via email" in 5.2</w:t>
            </w:r>
          </w:p>
          <w:p w:rsidR="00E45AB3" w:rsidRPr="00370D19" w:rsidRDefault="00E45AB3" w:rsidP="00E45AB3">
            <w:pPr>
              <w:widowControl/>
              <w:tabs>
                <w:tab w:val="left" w:pos="307"/>
              </w:tabs>
              <w:suppressAutoHyphens/>
              <w:spacing w:before="80" w:after="40"/>
              <w:ind w:left="340" w:hanging="340"/>
              <w:jc w:val="both"/>
              <w:rPr>
                <w:rFonts w:ascii="Arial" w:hAnsi="Arial" w:cs="Arial"/>
                <w:sz w:val="20"/>
              </w:rPr>
            </w:pPr>
            <w:r w:rsidRPr="00370D19">
              <w:rPr>
                <w:rFonts w:ascii="Arial" w:hAnsi="Arial" w:cs="Arial"/>
                <w:sz w:val="20"/>
              </w:rPr>
              <w:t xml:space="preserve">9.  Amendment of 5.6 </w:t>
            </w:r>
          </w:p>
          <w:p w:rsidR="00E45AB3" w:rsidRPr="00370D19" w:rsidRDefault="00E45AB3" w:rsidP="00E45AB3">
            <w:pPr>
              <w:widowControl/>
              <w:tabs>
                <w:tab w:val="left" w:pos="340"/>
              </w:tabs>
              <w:suppressAutoHyphens/>
              <w:spacing w:before="80" w:after="40"/>
              <w:ind w:left="340" w:hanging="340"/>
              <w:jc w:val="both"/>
              <w:rPr>
                <w:rFonts w:ascii="Arial" w:hAnsi="Arial" w:cs="Arial"/>
                <w:sz w:val="20"/>
              </w:rPr>
            </w:pPr>
            <w:r w:rsidRPr="00370D19">
              <w:rPr>
                <w:rFonts w:ascii="Arial" w:hAnsi="Arial" w:cs="Arial"/>
                <w:sz w:val="20"/>
              </w:rPr>
              <w:t>10.  Deletion of "format of SR" in 5.6.1</w:t>
            </w:r>
          </w:p>
          <w:p w:rsidR="00E45AB3" w:rsidRPr="00370D19" w:rsidRDefault="00E45AB3" w:rsidP="00E45AB3">
            <w:pPr>
              <w:widowControl/>
              <w:tabs>
                <w:tab w:val="left" w:pos="340"/>
              </w:tabs>
              <w:suppressAutoHyphens/>
              <w:spacing w:before="80" w:after="40"/>
              <w:ind w:left="340" w:hanging="340"/>
              <w:jc w:val="both"/>
              <w:rPr>
                <w:rFonts w:ascii="Arial" w:hAnsi="Arial" w:cs="Arial"/>
                <w:sz w:val="20"/>
              </w:rPr>
            </w:pPr>
            <w:r w:rsidRPr="00370D19">
              <w:rPr>
                <w:rFonts w:ascii="Arial" w:hAnsi="Arial" w:cs="Arial"/>
                <w:sz w:val="20"/>
              </w:rPr>
              <w:t>11.  Addition of email address in appendix 1</w:t>
            </w:r>
          </w:p>
          <w:p w:rsidR="00E45AB3" w:rsidRPr="00370D19" w:rsidRDefault="00E45AB3" w:rsidP="00E45AB3">
            <w:pPr>
              <w:widowControl/>
              <w:tabs>
                <w:tab w:val="left" w:pos="340"/>
              </w:tabs>
              <w:suppressAutoHyphens/>
              <w:spacing w:before="80" w:after="40"/>
              <w:ind w:left="340" w:hanging="340"/>
              <w:jc w:val="both"/>
              <w:rPr>
                <w:rFonts w:ascii="Arial" w:hAnsi="Arial" w:cs="Arial"/>
                <w:sz w:val="20"/>
              </w:rPr>
            </w:pPr>
            <w:r w:rsidRPr="00370D19">
              <w:rPr>
                <w:rFonts w:ascii="Arial" w:hAnsi="Arial" w:cs="Arial"/>
                <w:sz w:val="20"/>
              </w:rPr>
              <w:t>12.</w:t>
            </w:r>
            <w:r w:rsidRPr="00370D19">
              <w:rPr>
                <w:rFonts w:ascii="Arial" w:hAnsi="Arial" w:cs="Arial"/>
                <w:sz w:val="20"/>
              </w:rPr>
              <w:tab/>
              <w:t xml:space="preserve"> Amendment of appendixes 2, </w:t>
            </w:r>
            <w:r w:rsidR="00370D19" w:rsidRPr="00370D19">
              <w:rPr>
                <w:rFonts w:ascii="Arial" w:hAnsi="Arial" w:cs="Arial"/>
                <w:sz w:val="20"/>
              </w:rPr>
              <w:t>3, &amp;</w:t>
            </w:r>
            <w:r w:rsidRPr="00370D19">
              <w:rPr>
                <w:rFonts w:ascii="Arial" w:hAnsi="Arial" w:cs="Arial"/>
                <w:sz w:val="20"/>
              </w:rPr>
              <w:t xml:space="preserve"> 4</w:t>
            </w:r>
          </w:p>
          <w:p w:rsidR="00B727FD" w:rsidRPr="00370D19" w:rsidRDefault="00E45AB3" w:rsidP="00E45AB3">
            <w:pPr>
              <w:widowControl/>
              <w:tabs>
                <w:tab w:val="left" w:pos="340"/>
              </w:tabs>
              <w:suppressAutoHyphens/>
              <w:spacing w:before="80" w:after="40"/>
              <w:ind w:left="340" w:hanging="340"/>
              <w:jc w:val="both"/>
              <w:rPr>
                <w:rFonts w:ascii="Arial" w:hAnsi="Arial" w:cs="Arial"/>
                <w:sz w:val="20"/>
              </w:rPr>
            </w:pPr>
            <w:r w:rsidRPr="00370D19">
              <w:rPr>
                <w:rFonts w:ascii="Arial" w:hAnsi="Arial" w:cs="Arial"/>
                <w:sz w:val="20"/>
              </w:rPr>
              <w:t>13.  Addition of AE in Glossary and Abbreviations</w:t>
            </w:r>
          </w:p>
        </w:tc>
        <w:tc>
          <w:tcPr>
            <w:tcW w:w="2515" w:type="dxa"/>
          </w:tcPr>
          <w:p w:rsidR="005B1A24" w:rsidRPr="00370D19" w:rsidRDefault="005B1A24" w:rsidP="002F19E0">
            <w:pPr>
              <w:widowControl/>
              <w:suppressAutoHyphens/>
              <w:spacing w:before="80" w:after="40"/>
              <w:jc w:val="both"/>
              <w:rPr>
                <w:rFonts w:ascii="Arial" w:hAnsi="Arial" w:cs="Arial"/>
                <w:color w:val="0000FF"/>
                <w:sz w:val="20"/>
              </w:rPr>
            </w:pPr>
            <w:r w:rsidRPr="00370D19">
              <w:rPr>
                <w:rFonts w:ascii="Arial" w:hAnsi="Arial" w:cs="Arial"/>
                <w:sz w:val="20"/>
              </w:rPr>
              <w:t xml:space="preserve">Version 5 </w:t>
            </w:r>
            <w:r w:rsidR="002F19E0" w:rsidRPr="00370D19">
              <w:rPr>
                <w:rFonts w:ascii="Arial" w:hAnsi="Arial" w:cs="Arial"/>
                <w:sz w:val="20"/>
              </w:rPr>
              <w:t>June</w:t>
            </w:r>
            <w:r w:rsidRPr="00370D19">
              <w:rPr>
                <w:rFonts w:ascii="Arial" w:hAnsi="Arial" w:cs="Arial"/>
                <w:sz w:val="20"/>
              </w:rPr>
              <w:t xml:space="preserve"> 2017</w:t>
            </w:r>
          </w:p>
        </w:tc>
      </w:tr>
      <w:tr w:rsidR="001C4530" w:rsidRPr="00174878" w:rsidTr="005D1F97">
        <w:tc>
          <w:tcPr>
            <w:tcW w:w="1551" w:type="dxa"/>
          </w:tcPr>
          <w:p w:rsidR="001C4530" w:rsidRPr="00370D19" w:rsidRDefault="006A36E9" w:rsidP="002F19E0">
            <w:pPr>
              <w:widowControl/>
              <w:suppressAutoHyphens/>
              <w:spacing w:before="80" w:after="40"/>
              <w:jc w:val="both"/>
              <w:rPr>
                <w:rFonts w:ascii="Arial" w:hAnsi="Arial" w:cs="Arial"/>
                <w:color w:val="0000FF"/>
                <w:sz w:val="20"/>
                <w:u w:val="single"/>
              </w:rPr>
            </w:pPr>
            <w:r w:rsidRPr="00370D19">
              <w:rPr>
                <w:rFonts w:ascii="Arial" w:hAnsi="Arial" w:cs="Arial"/>
                <w:color w:val="0000FF"/>
                <w:sz w:val="20"/>
                <w:u w:val="single"/>
              </w:rPr>
              <w:t>April 2019</w:t>
            </w:r>
          </w:p>
        </w:tc>
        <w:tc>
          <w:tcPr>
            <w:tcW w:w="5623" w:type="dxa"/>
          </w:tcPr>
          <w:p w:rsidR="001C4530" w:rsidRPr="00370D19" w:rsidRDefault="001C4530" w:rsidP="00E45AB3">
            <w:pPr>
              <w:widowControl/>
              <w:tabs>
                <w:tab w:val="left" w:pos="217"/>
              </w:tabs>
              <w:suppressAutoHyphens/>
              <w:spacing w:before="80" w:after="40"/>
              <w:ind w:left="217" w:hanging="217"/>
              <w:jc w:val="both"/>
              <w:rPr>
                <w:rFonts w:ascii="Arial" w:hAnsi="Arial" w:cs="Arial"/>
                <w:color w:val="0000FF"/>
                <w:sz w:val="20"/>
                <w:u w:val="single"/>
              </w:rPr>
            </w:pPr>
            <w:r w:rsidRPr="00370D19">
              <w:rPr>
                <w:rFonts w:ascii="Arial" w:hAnsi="Arial" w:cs="Arial"/>
                <w:color w:val="0000FF"/>
                <w:sz w:val="20"/>
                <w:u w:val="single"/>
              </w:rPr>
              <w:t>1. Changed MCC to SAHPRA</w:t>
            </w:r>
          </w:p>
          <w:p w:rsidR="001C4530" w:rsidRPr="00370D19" w:rsidRDefault="001C4530" w:rsidP="00E45AB3">
            <w:pPr>
              <w:widowControl/>
              <w:tabs>
                <w:tab w:val="left" w:pos="217"/>
              </w:tabs>
              <w:suppressAutoHyphens/>
              <w:spacing w:before="80" w:after="40"/>
              <w:ind w:left="217" w:hanging="217"/>
              <w:jc w:val="both"/>
              <w:rPr>
                <w:rFonts w:ascii="Arial" w:hAnsi="Arial" w:cs="Arial"/>
                <w:color w:val="0000FF"/>
                <w:sz w:val="20"/>
                <w:u w:val="single"/>
              </w:rPr>
            </w:pPr>
            <w:r w:rsidRPr="00370D19">
              <w:rPr>
                <w:rFonts w:ascii="Arial" w:hAnsi="Arial" w:cs="Arial"/>
                <w:color w:val="0000FF"/>
                <w:sz w:val="20"/>
                <w:u w:val="single"/>
              </w:rPr>
              <w:t>2. Addition of products covered in this guideline</w:t>
            </w:r>
          </w:p>
          <w:p w:rsidR="001C4530" w:rsidRPr="00370D19" w:rsidRDefault="001C4530" w:rsidP="00E45AB3">
            <w:pPr>
              <w:widowControl/>
              <w:tabs>
                <w:tab w:val="left" w:pos="217"/>
              </w:tabs>
              <w:suppressAutoHyphens/>
              <w:spacing w:before="80" w:after="40"/>
              <w:ind w:left="217" w:hanging="217"/>
              <w:jc w:val="both"/>
              <w:rPr>
                <w:rFonts w:ascii="Arial" w:hAnsi="Arial" w:cs="Arial"/>
                <w:color w:val="0000FF"/>
                <w:sz w:val="20"/>
                <w:u w:val="single"/>
              </w:rPr>
            </w:pPr>
            <w:r w:rsidRPr="00370D19">
              <w:rPr>
                <w:rFonts w:ascii="Arial" w:hAnsi="Arial" w:cs="Arial"/>
                <w:color w:val="0000FF"/>
                <w:sz w:val="20"/>
                <w:u w:val="single"/>
              </w:rPr>
              <w:t>3. Purpose of the guideline</w:t>
            </w:r>
          </w:p>
          <w:p w:rsidR="001C4530" w:rsidRPr="00370D19" w:rsidRDefault="001C4530" w:rsidP="00E45AB3">
            <w:pPr>
              <w:widowControl/>
              <w:tabs>
                <w:tab w:val="left" w:pos="217"/>
              </w:tabs>
              <w:suppressAutoHyphens/>
              <w:spacing w:before="80" w:after="40"/>
              <w:ind w:left="217" w:hanging="217"/>
              <w:jc w:val="both"/>
              <w:rPr>
                <w:rFonts w:ascii="Arial" w:hAnsi="Arial" w:cs="Arial"/>
                <w:color w:val="0000FF"/>
                <w:sz w:val="20"/>
                <w:u w:val="single"/>
              </w:rPr>
            </w:pPr>
            <w:r w:rsidRPr="00370D19">
              <w:rPr>
                <w:rFonts w:ascii="Arial" w:hAnsi="Arial" w:cs="Arial"/>
                <w:color w:val="0000FF"/>
                <w:sz w:val="20"/>
                <w:u w:val="single"/>
              </w:rPr>
              <w:t>4. Change of Regulation number</w:t>
            </w:r>
          </w:p>
          <w:p w:rsidR="001C4530" w:rsidRPr="00370D19" w:rsidRDefault="001C4530" w:rsidP="00E45AB3">
            <w:pPr>
              <w:widowControl/>
              <w:tabs>
                <w:tab w:val="left" w:pos="217"/>
              </w:tabs>
              <w:suppressAutoHyphens/>
              <w:spacing w:before="80" w:after="40"/>
              <w:ind w:left="217" w:hanging="217"/>
              <w:jc w:val="both"/>
              <w:rPr>
                <w:rFonts w:ascii="Arial" w:hAnsi="Arial" w:cs="Arial"/>
                <w:color w:val="0000FF"/>
                <w:sz w:val="20"/>
                <w:u w:val="single"/>
              </w:rPr>
            </w:pPr>
            <w:r w:rsidRPr="00370D19">
              <w:rPr>
                <w:rFonts w:ascii="Arial" w:hAnsi="Arial" w:cs="Arial"/>
                <w:color w:val="0000FF"/>
                <w:sz w:val="20"/>
                <w:u w:val="single"/>
              </w:rPr>
              <w:t xml:space="preserve">5. Addition of definition </w:t>
            </w:r>
            <w:r w:rsidR="00B65FFD" w:rsidRPr="00370D19">
              <w:rPr>
                <w:rFonts w:ascii="Arial" w:hAnsi="Arial" w:cs="Arial"/>
                <w:color w:val="0000FF"/>
                <w:sz w:val="20"/>
                <w:u w:val="single"/>
              </w:rPr>
              <w:t>of significant safety issue</w:t>
            </w:r>
          </w:p>
          <w:p w:rsidR="001C4530" w:rsidRPr="00370D19" w:rsidRDefault="00B65FFD" w:rsidP="00E45AB3">
            <w:pPr>
              <w:widowControl/>
              <w:tabs>
                <w:tab w:val="left" w:pos="217"/>
              </w:tabs>
              <w:suppressAutoHyphens/>
              <w:spacing w:before="80" w:after="40"/>
              <w:ind w:left="217" w:hanging="217"/>
              <w:jc w:val="both"/>
              <w:rPr>
                <w:rFonts w:ascii="Arial" w:hAnsi="Arial" w:cs="Arial"/>
                <w:color w:val="0000FF"/>
                <w:sz w:val="20"/>
                <w:u w:val="single"/>
              </w:rPr>
            </w:pPr>
            <w:r w:rsidRPr="00370D19">
              <w:rPr>
                <w:rFonts w:ascii="Arial" w:hAnsi="Arial" w:cs="Arial"/>
                <w:color w:val="0000FF"/>
                <w:sz w:val="20"/>
                <w:u w:val="single"/>
              </w:rPr>
              <w:t>6</w:t>
            </w:r>
            <w:r w:rsidR="001C4530" w:rsidRPr="00370D19">
              <w:rPr>
                <w:rFonts w:ascii="Arial" w:hAnsi="Arial" w:cs="Arial"/>
                <w:color w:val="0000FF"/>
                <w:sz w:val="20"/>
                <w:u w:val="single"/>
              </w:rPr>
              <w:t>. Delete</w:t>
            </w:r>
            <w:r w:rsidR="005A01F0">
              <w:rPr>
                <w:rFonts w:ascii="Arial" w:hAnsi="Arial" w:cs="Arial"/>
                <w:color w:val="0000FF"/>
                <w:sz w:val="20"/>
                <w:u w:val="single"/>
              </w:rPr>
              <w:t>d</w:t>
            </w:r>
            <w:r w:rsidR="001C4530" w:rsidRPr="00370D19">
              <w:rPr>
                <w:rFonts w:ascii="Arial" w:hAnsi="Arial" w:cs="Arial"/>
                <w:color w:val="0000FF"/>
                <w:sz w:val="20"/>
                <w:u w:val="single"/>
              </w:rPr>
              <w:t xml:space="preserve"> appendixes 1 and 3</w:t>
            </w:r>
          </w:p>
        </w:tc>
        <w:tc>
          <w:tcPr>
            <w:tcW w:w="2515" w:type="dxa"/>
          </w:tcPr>
          <w:p w:rsidR="001C4530" w:rsidRPr="006B0729" w:rsidRDefault="00370D19" w:rsidP="002F19E0">
            <w:pPr>
              <w:widowControl/>
              <w:suppressAutoHyphens/>
              <w:spacing w:before="80" w:after="40"/>
              <w:jc w:val="both"/>
              <w:rPr>
                <w:rFonts w:ascii="Arial" w:hAnsi="Arial" w:cs="Arial"/>
                <w:color w:val="0000FF"/>
                <w:sz w:val="20"/>
                <w:u w:val="single"/>
              </w:rPr>
            </w:pPr>
            <w:r>
              <w:rPr>
                <w:rFonts w:ascii="Arial" w:hAnsi="Arial" w:cs="Arial"/>
                <w:color w:val="0000FF"/>
                <w:sz w:val="20"/>
                <w:u w:val="single"/>
              </w:rPr>
              <w:t>Version 6 April 2019</w:t>
            </w:r>
          </w:p>
        </w:tc>
      </w:tr>
    </w:tbl>
    <w:p w:rsidR="005D1F97" w:rsidRPr="00737AF2" w:rsidRDefault="005D1F97" w:rsidP="00737AF2">
      <w:pPr>
        <w:spacing w:line="280" w:lineRule="atLeast"/>
        <w:rPr>
          <w:rFonts w:ascii="Arial" w:hAnsi="Arial"/>
          <w:sz w:val="12"/>
          <w:szCs w:val="12"/>
        </w:rPr>
      </w:pPr>
    </w:p>
    <w:sectPr w:rsidR="005D1F97" w:rsidRPr="00737AF2" w:rsidSect="00FC100C">
      <w:footerReference w:type="default" r:id="rId13"/>
      <w:pgSz w:w="11907" w:h="16840" w:code="9"/>
      <w:pgMar w:top="1474" w:right="1021" w:bottom="1701" w:left="1021" w:header="1134" w:footer="1134" w:gutter="0"/>
      <w:cols w:space="70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093" w:rsidRDefault="00021093">
      <w:r>
        <w:separator/>
      </w:r>
    </w:p>
  </w:endnote>
  <w:endnote w:type="continuationSeparator" w:id="0">
    <w:p w:rsidR="00021093" w:rsidRDefault="00021093">
      <w:r>
        <w:continuationSeparator/>
      </w:r>
    </w:p>
  </w:endnote>
  <w:endnote w:type="continuationNotice" w:id="1">
    <w:p w:rsidR="00021093" w:rsidRDefault="00021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DB" w:rsidRPr="00A21A75" w:rsidRDefault="00021093">
    <w:pPr>
      <w:pStyle w:val="Caption"/>
      <w:tabs>
        <w:tab w:val="left" w:pos="0"/>
        <w:tab w:val="right" w:pos="8640"/>
      </w:tabs>
      <w:suppressAutoHyphens/>
      <w:spacing w:line="-1" w:lineRule="auto"/>
      <w:ind w:left="1830" w:right="360"/>
      <w:rPr>
        <w:rFonts w:ascii="Arial" w:hAnsi="Arial" w:cs="Arial"/>
        <w:b/>
        <w:i/>
        <w:vanish/>
        <w:sz w:val="18"/>
        <w:szCs w:val="18"/>
      </w:rPr>
    </w:pPr>
    <w:hyperlink w:anchor="ToC" w:history="1">
      <w:r w:rsidR="003E30DB" w:rsidRPr="00A21A75">
        <w:rPr>
          <w:rStyle w:val="Hyperlink"/>
          <w:rFonts w:ascii="Arial" w:hAnsi="Arial" w:cs="Arial"/>
          <w:b/>
          <w:i/>
          <w:vanish/>
          <w:sz w:val="18"/>
          <w:szCs w:val="18"/>
        </w:rPr>
        <w:t>ToC</w:t>
      </w:r>
    </w:hyperlink>
    <w:r w:rsidR="003E30DB" w:rsidRPr="00A21A75">
      <w:rPr>
        <w:rFonts w:ascii="Arial" w:hAnsi="Arial" w:cs="Arial"/>
        <w:b/>
        <w:i/>
        <w:vanish/>
        <w:sz w:val="18"/>
        <w:szCs w:val="18"/>
      </w:rPr>
      <w:t>Version: MCC2003</w:t>
    </w:r>
  </w:p>
  <w:p w:rsidR="003E30DB" w:rsidRDefault="003E30DB" w:rsidP="000119EC">
    <w:pPr>
      <w:widowControl/>
      <w:tabs>
        <w:tab w:val="left" w:pos="0"/>
        <w:tab w:val="left" w:pos="6521"/>
        <w:tab w:val="right" w:pos="9866"/>
      </w:tabs>
      <w:suppressAutoHyphens/>
      <w:ind w:right="-8"/>
      <w:rPr>
        <w:rStyle w:val="PageNumber"/>
        <w:rFonts w:ascii="Arial" w:hAnsi="Arial" w:cs="Arial"/>
        <w:sz w:val="20"/>
      </w:rPr>
    </w:pPr>
    <w:r w:rsidRPr="00B30A83">
      <w:rPr>
        <w:rFonts w:ascii="Arial" w:hAnsi="Arial" w:cs="Arial"/>
        <w:b/>
        <w:i/>
        <w:sz w:val="18"/>
      </w:rPr>
      <w:fldChar w:fldCharType="begin"/>
    </w:r>
    <w:r w:rsidRPr="00B30A83">
      <w:rPr>
        <w:rFonts w:ascii="Arial" w:hAnsi="Arial" w:cs="Arial"/>
        <w:b/>
        <w:i/>
        <w:sz w:val="18"/>
      </w:rPr>
      <w:instrText xml:space="preserve"> FILENAME   \* MERGEFORMAT </w:instrText>
    </w:r>
    <w:r w:rsidRPr="00B30A83">
      <w:rPr>
        <w:rFonts w:ascii="Arial" w:hAnsi="Arial" w:cs="Arial"/>
        <w:b/>
        <w:i/>
        <w:sz w:val="18"/>
      </w:rPr>
      <w:fldChar w:fldCharType="separate"/>
    </w:r>
    <w:r w:rsidRPr="00B30A83">
      <w:rPr>
        <w:rFonts w:ascii="Arial" w:hAnsi="Arial" w:cs="Arial"/>
        <w:b/>
        <w:i/>
        <w:noProof/>
        <w:sz w:val="18"/>
      </w:rPr>
      <w:t>2.33_AD</w:t>
    </w:r>
    <w:r w:rsidR="008F11D0">
      <w:rPr>
        <w:rFonts w:ascii="Arial" w:hAnsi="Arial" w:cs="Arial"/>
        <w:b/>
        <w:i/>
        <w:noProof/>
        <w:sz w:val="18"/>
      </w:rPr>
      <w:t>R_reporting_post-marketing_Apr 19</w:t>
    </w:r>
    <w:r w:rsidRPr="00B30A83">
      <w:rPr>
        <w:rFonts w:ascii="Arial" w:hAnsi="Arial" w:cs="Arial"/>
        <w:b/>
        <w:i/>
        <w:noProof/>
        <w:sz w:val="18"/>
      </w:rPr>
      <w:t>_v</w:t>
    </w:r>
    <w:r w:rsidR="008F11D0">
      <w:rPr>
        <w:rFonts w:ascii="Arial" w:hAnsi="Arial" w:cs="Arial"/>
        <w:b/>
        <w:i/>
        <w:noProof/>
        <w:sz w:val="18"/>
      </w:rPr>
      <w:t>6</w:t>
    </w:r>
    <w:r w:rsidR="008F2C42">
      <w:rPr>
        <w:rFonts w:ascii="Arial" w:hAnsi="Arial" w:cs="Arial"/>
        <w:b/>
        <w:i/>
        <w:noProof/>
        <w:sz w:val="18"/>
      </w:rPr>
      <w:t>_for_comments</w:t>
    </w:r>
    <w:r w:rsidRPr="00B30A83">
      <w:rPr>
        <w:rFonts w:ascii="Arial" w:hAnsi="Arial" w:cs="Arial"/>
        <w:b/>
        <w:i/>
        <w:sz w:val="18"/>
      </w:rPr>
      <w:fldChar w:fldCharType="end"/>
    </w:r>
    <w:r w:rsidR="008F11D0">
      <w:rPr>
        <w:rFonts w:ascii="Arial" w:hAnsi="Arial" w:cs="Arial"/>
        <w:b/>
        <w:bCs/>
        <w:i/>
        <w:iCs/>
        <w:sz w:val="18"/>
        <w:lang w:val="en-US"/>
      </w:rPr>
      <w:tab/>
      <w:t>Apr</w:t>
    </w:r>
    <w:r>
      <w:rPr>
        <w:rFonts w:ascii="Arial" w:hAnsi="Arial" w:cs="Arial"/>
        <w:b/>
        <w:bCs/>
        <w:i/>
        <w:iCs/>
        <w:sz w:val="18"/>
        <w:lang w:val="en-US"/>
      </w:rPr>
      <w:t xml:space="preserve"> 2019</w:t>
    </w:r>
    <w:r>
      <w:rPr>
        <w:rFonts w:ascii="Arial" w:hAnsi="Arial" w:cs="Arial"/>
        <w:b/>
        <w:bCs/>
        <w:i/>
        <w:iCs/>
        <w:sz w:val="18"/>
        <w:lang w:val="en-US"/>
      </w:rPr>
      <w:tab/>
    </w:r>
    <w:r>
      <w:rPr>
        <w:rFonts w:ascii="Arial" w:hAnsi="Arial" w:cs="Arial"/>
        <w:sz w:val="20"/>
        <w:lang w:val="en-US"/>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F2C42">
      <w:rPr>
        <w:rStyle w:val="PageNumber"/>
        <w:rFonts w:ascii="Arial" w:hAnsi="Arial" w:cs="Arial"/>
        <w:noProof/>
        <w:sz w:val="20"/>
      </w:rPr>
      <w:t>3</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8F2C42">
      <w:rPr>
        <w:rStyle w:val="PageNumber"/>
        <w:rFonts w:ascii="Arial" w:hAnsi="Arial" w:cs="Arial"/>
        <w:noProof/>
        <w:sz w:val="20"/>
      </w:rPr>
      <w:t>23</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DB" w:rsidRPr="00B30A83" w:rsidRDefault="003E30DB" w:rsidP="00AB2DA5">
    <w:pPr>
      <w:widowControl/>
      <w:tabs>
        <w:tab w:val="left" w:pos="0"/>
        <w:tab w:val="left" w:pos="6521"/>
        <w:tab w:val="right" w:pos="9866"/>
      </w:tabs>
      <w:suppressAutoHyphens/>
      <w:ind w:right="-8"/>
      <w:rPr>
        <w:rFonts w:ascii="Arial" w:hAnsi="Arial" w:cs="Arial"/>
        <w:sz w:val="20"/>
      </w:rPr>
    </w:pPr>
    <w:r w:rsidRPr="00B30A83">
      <w:rPr>
        <w:rFonts w:ascii="Arial" w:hAnsi="Arial" w:cs="Arial"/>
        <w:b/>
        <w:i/>
        <w:sz w:val="18"/>
      </w:rPr>
      <w:fldChar w:fldCharType="begin"/>
    </w:r>
    <w:r w:rsidRPr="00B30A83">
      <w:rPr>
        <w:rFonts w:ascii="Arial" w:hAnsi="Arial" w:cs="Arial"/>
        <w:b/>
        <w:i/>
        <w:sz w:val="18"/>
      </w:rPr>
      <w:instrText xml:space="preserve"> FILENAME   \* MERGEFORMAT </w:instrText>
    </w:r>
    <w:r w:rsidRPr="00B30A83">
      <w:rPr>
        <w:rFonts w:ascii="Arial" w:hAnsi="Arial" w:cs="Arial"/>
        <w:b/>
        <w:i/>
        <w:sz w:val="18"/>
      </w:rPr>
      <w:fldChar w:fldCharType="separate"/>
    </w:r>
    <w:r w:rsidRPr="00B30A83">
      <w:rPr>
        <w:rFonts w:ascii="Arial" w:hAnsi="Arial" w:cs="Arial"/>
        <w:b/>
        <w:i/>
        <w:noProof/>
        <w:sz w:val="18"/>
      </w:rPr>
      <w:t>2.33_AD</w:t>
    </w:r>
    <w:r>
      <w:rPr>
        <w:rFonts w:ascii="Arial" w:hAnsi="Arial" w:cs="Arial"/>
        <w:b/>
        <w:i/>
        <w:noProof/>
        <w:sz w:val="18"/>
      </w:rPr>
      <w:t>R_reporting_post-marketing_Apr19</w:t>
    </w:r>
    <w:r w:rsidR="008F2C42">
      <w:rPr>
        <w:rFonts w:ascii="Arial" w:hAnsi="Arial" w:cs="Arial"/>
        <w:b/>
        <w:i/>
        <w:noProof/>
        <w:sz w:val="18"/>
      </w:rPr>
      <w:t>_v6</w:t>
    </w:r>
    <w:r w:rsidRPr="00B30A83">
      <w:rPr>
        <w:rFonts w:ascii="Arial" w:hAnsi="Arial" w:cs="Arial"/>
        <w:b/>
        <w:i/>
        <w:noProof/>
        <w:sz w:val="18"/>
      </w:rPr>
      <w:t>_</w:t>
    </w:r>
    <w:r w:rsidR="008F2C42">
      <w:rPr>
        <w:rFonts w:ascii="Arial" w:hAnsi="Arial" w:cs="Arial"/>
        <w:b/>
        <w:i/>
        <w:noProof/>
        <w:sz w:val="18"/>
      </w:rPr>
      <w:t>for</w:t>
    </w:r>
    <w:r w:rsidRPr="00B30A83">
      <w:rPr>
        <w:rFonts w:ascii="Arial" w:hAnsi="Arial" w:cs="Arial"/>
        <w:b/>
        <w:i/>
        <w:noProof/>
        <w:sz w:val="18"/>
      </w:rPr>
      <w:t>_c</w:t>
    </w:r>
    <w:r w:rsidR="008F2C42">
      <w:rPr>
        <w:rFonts w:ascii="Arial" w:hAnsi="Arial" w:cs="Arial"/>
        <w:b/>
        <w:i/>
        <w:noProof/>
        <w:sz w:val="18"/>
      </w:rPr>
      <w:t>omments</w:t>
    </w:r>
    <w:r w:rsidRPr="00B30A83">
      <w:rPr>
        <w:rFonts w:ascii="Arial" w:hAnsi="Arial" w:cs="Arial"/>
        <w:b/>
        <w:i/>
        <w:sz w:val="18"/>
      </w:rPr>
      <w:fldChar w:fldCharType="end"/>
    </w:r>
    <w:r>
      <w:rPr>
        <w:rFonts w:ascii="Arial" w:hAnsi="Arial" w:cs="Arial"/>
        <w:b/>
        <w:bCs/>
        <w:i/>
        <w:iCs/>
        <w:sz w:val="18"/>
        <w:lang w:val="en-US"/>
      </w:rPr>
      <w:tab/>
      <w:t>April 2019</w:t>
    </w:r>
    <w:r>
      <w:rPr>
        <w:rFonts w:ascii="Arial" w:hAnsi="Arial" w:cs="Arial"/>
        <w:b/>
        <w:bCs/>
        <w:i/>
        <w:iCs/>
        <w:sz w:val="18"/>
        <w:lang w:val="en-US"/>
      </w:rPr>
      <w:tab/>
    </w:r>
    <w:r>
      <w:rPr>
        <w:rFonts w:ascii="Arial" w:hAnsi="Arial" w:cs="Arial"/>
        <w:sz w:val="20"/>
        <w:lang w:val="en-US"/>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F2C42">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8F2C42">
      <w:rPr>
        <w:rStyle w:val="PageNumber"/>
        <w:rFonts w:ascii="Arial" w:hAnsi="Arial" w:cs="Arial"/>
        <w:noProof/>
        <w:sz w:val="20"/>
      </w:rPr>
      <w:t>23</w:t>
    </w:r>
    <w:r>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DB" w:rsidRPr="00C5040A" w:rsidRDefault="00021093">
    <w:pPr>
      <w:pStyle w:val="Caption"/>
      <w:tabs>
        <w:tab w:val="left" w:pos="0"/>
        <w:tab w:val="right" w:pos="8640"/>
      </w:tabs>
      <w:suppressAutoHyphens/>
      <w:spacing w:line="-1" w:lineRule="auto"/>
      <w:ind w:left="1830" w:right="360"/>
      <w:rPr>
        <w:rFonts w:ascii="Arial" w:hAnsi="Arial" w:cs="Arial"/>
        <w:b/>
        <w:i/>
        <w:vanish/>
        <w:sz w:val="18"/>
        <w:szCs w:val="18"/>
      </w:rPr>
    </w:pPr>
    <w:hyperlink w:anchor="ToC" w:history="1">
      <w:r w:rsidR="003E30DB" w:rsidRPr="00C5040A">
        <w:rPr>
          <w:rStyle w:val="Hyperlink"/>
          <w:rFonts w:ascii="Arial" w:hAnsi="Arial" w:cs="Arial"/>
          <w:b/>
          <w:i/>
          <w:vanish/>
          <w:sz w:val="18"/>
          <w:szCs w:val="18"/>
        </w:rPr>
        <w:t>ToC</w:t>
      </w:r>
    </w:hyperlink>
    <w:r w:rsidR="003E30DB" w:rsidRPr="00C5040A">
      <w:rPr>
        <w:rFonts w:ascii="Arial" w:hAnsi="Arial" w:cs="Arial"/>
        <w:b/>
        <w:i/>
        <w:vanish/>
        <w:sz w:val="18"/>
        <w:szCs w:val="18"/>
      </w:rPr>
      <w:t>Version: MCC2003</w:t>
    </w:r>
  </w:p>
  <w:p w:rsidR="003E30DB" w:rsidRDefault="003E30DB" w:rsidP="00B30A83">
    <w:pPr>
      <w:widowControl/>
      <w:tabs>
        <w:tab w:val="left" w:pos="0"/>
        <w:tab w:val="left" w:pos="6521"/>
        <w:tab w:val="right" w:pos="9866"/>
      </w:tabs>
      <w:suppressAutoHyphens/>
      <w:ind w:right="-8"/>
      <w:rPr>
        <w:rStyle w:val="PageNumber"/>
        <w:rFonts w:ascii="Arial" w:hAnsi="Arial" w:cs="Arial"/>
        <w:sz w:val="20"/>
      </w:rPr>
    </w:pPr>
    <w:r w:rsidRPr="00B30A83">
      <w:rPr>
        <w:rFonts w:ascii="Arial" w:hAnsi="Arial" w:cs="Arial"/>
        <w:b/>
        <w:i/>
        <w:sz w:val="18"/>
      </w:rPr>
      <w:fldChar w:fldCharType="begin"/>
    </w:r>
    <w:r w:rsidRPr="00B30A83">
      <w:rPr>
        <w:rFonts w:ascii="Arial" w:hAnsi="Arial" w:cs="Arial"/>
        <w:b/>
        <w:i/>
        <w:sz w:val="18"/>
      </w:rPr>
      <w:instrText xml:space="preserve"> FILENAME   \* MERGEFORMAT </w:instrText>
    </w:r>
    <w:r w:rsidRPr="00B30A83">
      <w:rPr>
        <w:rFonts w:ascii="Arial" w:hAnsi="Arial" w:cs="Arial"/>
        <w:b/>
        <w:i/>
        <w:sz w:val="18"/>
      </w:rPr>
      <w:fldChar w:fldCharType="separate"/>
    </w:r>
    <w:r w:rsidRPr="00B30A83">
      <w:rPr>
        <w:rFonts w:ascii="Arial" w:hAnsi="Arial" w:cs="Arial"/>
        <w:b/>
        <w:i/>
        <w:noProof/>
        <w:sz w:val="18"/>
      </w:rPr>
      <w:t>2.33_ADR_reporting_post-marketing_</w:t>
    </w:r>
    <w:r>
      <w:rPr>
        <w:rFonts w:ascii="Arial" w:hAnsi="Arial" w:cs="Arial"/>
        <w:b/>
        <w:i/>
        <w:noProof/>
        <w:sz w:val="18"/>
      </w:rPr>
      <w:t>Apr</w:t>
    </w:r>
    <w:r w:rsidRPr="00B30A83">
      <w:rPr>
        <w:rFonts w:ascii="Arial" w:hAnsi="Arial" w:cs="Arial"/>
        <w:b/>
        <w:i/>
        <w:noProof/>
        <w:sz w:val="18"/>
      </w:rPr>
      <w:t>1</w:t>
    </w:r>
    <w:r>
      <w:rPr>
        <w:rFonts w:ascii="Arial" w:hAnsi="Arial" w:cs="Arial"/>
        <w:b/>
        <w:i/>
        <w:noProof/>
        <w:sz w:val="18"/>
      </w:rPr>
      <w:t>9</w:t>
    </w:r>
    <w:r w:rsidRPr="00B30A83">
      <w:rPr>
        <w:rFonts w:ascii="Arial" w:hAnsi="Arial" w:cs="Arial"/>
        <w:b/>
        <w:i/>
        <w:noProof/>
        <w:sz w:val="18"/>
      </w:rPr>
      <w:t>_v</w:t>
    </w:r>
    <w:r>
      <w:rPr>
        <w:rFonts w:ascii="Arial" w:hAnsi="Arial" w:cs="Arial"/>
        <w:b/>
        <w:i/>
        <w:noProof/>
        <w:sz w:val="18"/>
      </w:rPr>
      <w:t>6</w:t>
    </w:r>
    <w:r w:rsidRPr="00B30A83">
      <w:rPr>
        <w:rFonts w:ascii="Arial" w:hAnsi="Arial" w:cs="Arial"/>
        <w:b/>
        <w:i/>
        <w:noProof/>
        <w:sz w:val="18"/>
      </w:rPr>
      <w:t>_</w:t>
    </w:r>
    <w:r>
      <w:rPr>
        <w:rFonts w:ascii="Arial" w:hAnsi="Arial" w:cs="Arial"/>
        <w:b/>
        <w:i/>
        <w:noProof/>
        <w:sz w:val="18"/>
      </w:rPr>
      <w:t>for</w:t>
    </w:r>
    <w:r w:rsidRPr="00B30A83">
      <w:rPr>
        <w:rFonts w:ascii="Arial" w:hAnsi="Arial" w:cs="Arial"/>
        <w:b/>
        <w:i/>
        <w:noProof/>
        <w:sz w:val="18"/>
      </w:rPr>
      <w:t>_c</w:t>
    </w:r>
    <w:r>
      <w:rPr>
        <w:rFonts w:ascii="Arial" w:hAnsi="Arial" w:cs="Arial"/>
        <w:b/>
        <w:i/>
        <w:noProof/>
        <w:sz w:val="18"/>
      </w:rPr>
      <w:t>omments</w:t>
    </w:r>
    <w:r w:rsidRPr="00B30A83">
      <w:rPr>
        <w:rFonts w:ascii="Arial" w:hAnsi="Arial" w:cs="Arial"/>
        <w:b/>
        <w:i/>
        <w:sz w:val="18"/>
      </w:rPr>
      <w:fldChar w:fldCharType="end"/>
    </w:r>
    <w:r>
      <w:rPr>
        <w:rFonts w:ascii="Arial" w:hAnsi="Arial" w:cs="Arial"/>
        <w:b/>
        <w:bCs/>
        <w:i/>
        <w:iCs/>
        <w:sz w:val="18"/>
        <w:lang w:val="en-US"/>
      </w:rPr>
      <w:tab/>
      <w:t>April 2019</w:t>
    </w:r>
    <w:r>
      <w:rPr>
        <w:rFonts w:ascii="Arial" w:hAnsi="Arial" w:cs="Arial"/>
        <w:b/>
        <w:bCs/>
        <w:i/>
        <w:iCs/>
        <w:sz w:val="18"/>
        <w:lang w:val="en-US"/>
      </w:rPr>
      <w:tab/>
    </w:r>
    <w:r>
      <w:rPr>
        <w:rFonts w:ascii="Arial" w:hAnsi="Arial" w:cs="Arial"/>
        <w:sz w:val="20"/>
        <w:lang w:val="en-US"/>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F2C42">
      <w:rPr>
        <w:rStyle w:val="PageNumber"/>
        <w:rFonts w:ascii="Arial" w:hAnsi="Arial" w:cs="Arial"/>
        <w:noProof/>
        <w:sz w:val="20"/>
      </w:rPr>
      <w:t>20</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8F2C42">
      <w:rPr>
        <w:rStyle w:val="PageNumber"/>
        <w:rFonts w:ascii="Arial" w:hAnsi="Arial" w:cs="Arial"/>
        <w:noProof/>
        <w:sz w:val="20"/>
      </w:rPr>
      <w:t>23</w:t>
    </w:r>
    <w:r>
      <w:rPr>
        <w:rStyle w:val="PageNumber"/>
        <w:rFonts w:ascii="Arial" w:hAnsi="Arial" w:cs="Arial"/>
        <w:sz w:val="20"/>
      </w:rPr>
      <w:fldChar w:fldCharType="end"/>
    </w:r>
  </w:p>
  <w:p w:rsidR="003E30DB" w:rsidRPr="00062C44" w:rsidRDefault="003E30DB" w:rsidP="00506F54">
    <w:pPr>
      <w:widowControl/>
      <w:tabs>
        <w:tab w:val="left" w:pos="0"/>
        <w:tab w:val="right" w:pos="9809"/>
      </w:tabs>
      <w:suppressAutoHyphens/>
      <w:ind w:right="-8"/>
      <w:jc w:val="right"/>
      <w:rPr>
        <w:rFonts w:ascii="Arial" w:hAnsi="Arial" w:cs="Arial"/>
        <w:b/>
        <w:bCs/>
        <w:i/>
        <w:iCs/>
        <w:sz w:val="18"/>
        <w:lang w:val="en-US"/>
      </w:rPr>
    </w:pPr>
    <w:r>
      <w:rPr>
        <w:rStyle w:val="PageNumber"/>
        <w:rFonts w:ascii="Arial" w:hAnsi="Arial" w:cs="Arial"/>
        <w:sz w:val="20"/>
      </w:rPr>
      <w:t xml:space="preserve">Back to </w:t>
    </w:r>
    <w:hyperlink w:anchor="ToC" w:history="1">
      <w:proofErr w:type="spellStart"/>
      <w:r w:rsidRPr="009E112B">
        <w:rPr>
          <w:rStyle w:val="Hyperlink"/>
          <w:rFonts w:ascii="Arial" w:hAnsi="Arial" w:cs="Arial"/>
          <w:sz w:val="20"/>
        </w:rPr>
        <w:t>ToC</w:t>
      </w:r>
      <w:proofErr w:type="spellEnd"/>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093" w:rsidRDefault="00021093">
      <w:r>
        <w:separator/>
      </w:r>
    </w:p>
  </w:footnote>
  <w:footnote w:type="continuationSeparator" w:id="0">
    <w:p w:rsidR="00021093" w:rsidRDefault="00021093">
      <w:r>
        <w:continuationSeparator/>
      </w:r>
    </w:p>
  </w:footnote>
  <w:footnote w:type="continuationNotice" w:id="1">
    <w:p w:rsidR="00021093" w:rsidRDefault="0002109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DB" w:rsidRDefault="003E30DB" w:rsidP="00322D69">
    <w:pPr>
      <w:pStyle w:val="Header"/>
      <w:widowControl/>
      <w:tabs>
        <w:tab w:val="clear" w:pos="4153"/>
        <w:tab w:val="clear" w:pos="8306"/>
        <w:tab w:val="right" w:pos="9809"/>
      </w:tabs>
      <w:rPr>
        <w:rFonts w:ascii="Arial" w:hAnsi="Arial" w:cs="Arial"/>
        <w:b/>
        <w:bCs/>
        <w:sz w:val="18"/>
        <w:szCs w:val="18"/>
      </w:rPr>
    </w:pPr>
    <w:r>
      <w:rPr>
        <w:rFonts w:ascii="Arial" w:hAnsi="Arial"/>
        <w:b/>
        <w:i/>
        <w:sz w:val="18"/>
        <w:szCs w:val="18"/>
      </w:rPr>
      <w:tab/>
    </w:r>
    <w:r w:rsidRPr="00760E87">
      <w:rPr>
        <w:rFonts w:ascii="Arial" w:hAnsi="Arial" w:cs="Arial"/>
        <w:b/>
        <w:bCs/>
        <w:i/>
        <w:sz w:val="18"/>
        <w:szCs w:val="18"/>
      </w:rPr>
      <w:t xml:space="preserve">Reporting of Post-Marketing </w:t>
    </w:r>
    <w:r>
      <w:rPr>
        <w:rFonts w:ascii="Arial" w:hAnsi="Arial" w:cs="Arial"/>
        <w:b/>
        <w:bCs/>
        <w:i/>
        <w:sz w:val="18"/>
        <w:szCs w:val="18"/>
      </w:rPr>
      <w:t>ADRs</w:t>
    </w:r>
  </w:p>
  <w:p w:rsidR="003E30DB" w:rsidRPr="00B30A83" w:rsidRDefault="003E30DB" w:rsidP="00322D69">
    <w:pPr>
      <w:pStyle w:val="Header"/>
      <w:rPr>
        <w:rFonts w:ascii="Arial" w:hAnsi="Arial" w:cs="Arial"/>
        <w:b/>
        <w:i/>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8DB"/>
    <w:multiLevelType w:val="hybridMultilevel"/>
    <w:tmpl w:val="C11A8C78"/>
    <w:lvl w:ilvl="0" w:tplc="DA2A1A5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156E89"/>
    <w:multiLevelType w:val="hybridMultilevel"/>
    <w:tmpl w:val="BE402ACE"/>
    <w:lvl w:ilvl="0" w:tplc="E2EC01D6">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C77C5F"/>
    <w:multiLevelType w:val="hybridMultilevel"/>
    <w:tmpl w:val="474C861A"/>
    <w:lvl w:ilvl="0" w:tplc="8388565E">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C6937F3"/>
    <w:multiLevelType w:val="hybridMultilevel"/>
    <w:tmpl w:val="8DF6AC32"/>
    <w:lvl w:ilvl="0" w:tplc="7054DB4C">
      <w:start w:val="1"/>
      <w:numFmt w:val="lowerRoman"/>
      <w:lvlText w:val="(%1)"/>
      <w:lvlJc w:val="left"/>
      <w:pPr>
        <w:tabs>
          <w:tab w:val="num" w:pos="1287"/>
        </w:tabs>
        <w:ind w:left="1287" w:hanging="72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0E0A3538"/>
    <w:multiLevelType w:val="multilevel"/>
    <w:tmpl w:val="4B487B16"/>
    <w:styleLink w:val="Style1"/>
    <w:lvl w:ilvl="0">
      <w:start w:val="1"/>
      <w:numFmt w:val="decimal"/>
      <w:lvlText w:val="%1)"/>
      <w:lvlJc w:val="left"/>
      <w:pPr>
        <w:ind w:left="567" w:hanging="567"/>
      </w:pPr>
      <w:rPr>
        <w:rFonts w:ascii="Arial" w:hAnsi="Arial" w:cs="Times New Roman" w:hint="default"/>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36A7DBB"/>
    <w:multiLevelType w:val="hybridMultilevel"/>
    <w:tmpl w:val="A9CC61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8430AF4"/>
    <w:multiLevelType w:val="hybridMultilevel"/>
    <w:tmpl w:val="C2745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95743DD"/>
    <w:multiLevelType w:val="hybridMultilevel"/>
    <w:tmpl w:val="6F6034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1DFC0B9C"/>
    <w:multiLevelType w:val="hybridMultilevel"/>
    <w:tmpl w:val="007E3798"/>
    <w:lvl w:ilvl="0" w:tplc="BFEAF1D0">
      <w:start w:val="5"/>
      <w:numFmt w:val="lowerRoman"/>
      <w:lvlText w:val="(%1)"/>
      <w:lvlJc w:val="left"/>
      <w:pPr>
        <w:tabs>
          <w:tab w:val="num" w:pos="1287"/>
        </w:tabs>
        <w:ind w:left="1287" w:hanging="72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D500E8"/>
    <w:multiLevelType w:val="multilevel"/>
    <w:tmpl w:val="8B4EC88A"/>
    <w:lvl w:ilvl="0">
      <w:start w:val="1"/>
      <w:numFmt w:val="decimal"/>
      <w:lvlText w:val="%1."/>
      <w:lvlJc w:val="left"/>
      <w:pPr>
        <w:ind w:left="927"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2F950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0140C2"/>
    <w:multiLevelType w:val="hybridMultilevel"/>
    <w:tmpl w:val="D47C3E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FC95F7C"/>
    <w:multiLevelType w:val="hybridMultilevel"/>
    <w:tmpl w:val="ADBA3E34"/>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3" w15:restartNumberingAfterBreak="0">
    <w:nsid w:val="32F47CBF"/>
    <w:multiLevelType w:val="hybridMultilevel"/>
    <w:tmpl w:val="8DF6AC32"/>
    <w:lvl w:ilvl="0" w:tplc="7054DB4C">
      <w:start w:val="1"/>
      <w:numFmt w:val="lowerRoman"/>
      <w:lvlText w:val="(%1)"/>
      <w:lvlJc w:val="left"/>
      <w:pPr>
        <w:tabs>
          <w:tab w:val="num" w:pos="1287"/>
        </w:tabs>
        <w:ind w:left="1287" w:hanging="72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37404FC1"/>
    <w:multiLevelType w:val="hybridMultilevel"/>
    <w:tmpl w:val="F0685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7DC3A5C"/>
    <w:multiLevelType w:val="hybridMultilevel"/>
    <w:tmpl w:val="83B2CB50"/>
    <w:lvl w:ilvl="0" w:tplc="49CA51CC">
      <w:start w:val="1"/>
      <w:numFmt w:val="decimal"/>
      <w:lvlText w:val="%1."/>
      <w:lvlJc w:val="left"/>
      <w:pPr>
        <w:ind w:left="720" w:hanging="432"/>
      </w:pPr>
      <w:rPr>
        <w:rFonts w:ascii="Arial" w:hAnsi="Arial" w:cs="Times New Roman" w:hint="default"/>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15:restartNumberingAfterBreak="0">
    <w:nsid w:val="384853AC"/>
    <w:multiLevelType w:val="hybridMultilevel"/>
    <w:tmpl w:val="3CB45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9B5177E"/>
    <w:multiLevelType w:val="singleLevel"/>
    <w:tmpl w:val="8388565E"/>
    <w:lvl w:ilvl="0">
      <w:numFmt w:val="bullet"/>
      <w:lvlText w:val=""/>
      <w:lvlJc w:val="left"/>
      <w:pPr>
        <w:tabs>
          <w:tab w:val="num" w:pos="720"/>
        </w:tabs>
        <w:ind w:left="720" w:hanging="720"/>
      </w:pPr>
      <w:rPr>
        <w:rFonts w:ascii="Symbol" w:hAnsi="Symbol" w:hint="default"/>
      </w:rPr>
    </w:lvl>
  </w:abstractNum>
  <w:abstractNum w:abstractNumId="18" w15:restartNumberingAfterBreak="0">
    <w:nsid w:val="455E67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83055A"/>
    <w:multiLevelType w:val="hybridMultilevel"/>
    <w:tmpl w:val="474A3A5E"/>
    <w:lvl w:ilvl="0" w:tplc="AC723A7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89E1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A11339"/>
    <w:multiLevelType w:val="hybridMultilevel"/>
    <w:tmpl w:val="5C1AAF1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2" w15:restartNumberingAfterBreak="0">
    <w:nsid w:val="49760711"/>
    <w:multiLevelType w:val="singleLevel"/>
    <w:tmpl w:val="8388565E"/>
    <w:lvl w:ilvl="0">
      <w:numFmt w:val="bullet"/>
      <w:lvlText w:val=""/>
      <w:lvlJc w:val="left"/>
      <w:pPr>
        <w:tabs>
          <w:tab w:val="num" w:pos="720"/>
        </w:tabs>
        <w:ind w:left="720" w:hanging="720"/>
      </w:pPr>
      <w:rPr>
        <w:rFonts w:ascii="Symbol" w:hAnsi="Symbol" w:hint="default"/>
      </w:rPr>
    </w:lvl>
  </w:abstractNum>
  <w:abstractNum w:abstractNumId="23" w15:restartNumberingAfterBreak="0">
    <w:nsid w:val="4FDD248B"/>
    <w:multiLevelType w:val="multilevel"/>
    <w:tmpl w:val="EF44AFEE"/>
    <w:lvl w:ilvl="0">
      <w:start w:val="1"/>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
      <w:numFmt w:val="lowerRoman"/>
      <w:lvlText w:val="(%3)"/>
      <w:lvlJc w:val="left"/>
      <w:pPr>
        <w:ind w:left="720" w:hanging="720"/>
      </w:pPr>
      <w:rPr>
        <w:rFonts w:ascii="Arial" w:eastAsia="Times New Roman" w:hAnsi="Arial" w:cs="Arial"/>
        <w:b w:val="0"/>
        <w:sz w:val="20"/>
        <w:szCs w:val="2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2292A56"/>
    <w:multiLevelType w:val="singleLevel"/>
    <w:tmpl w:val="8388565E"/>
    <w:lvl w:ilvl="0">
      <w:numFmt w:val="bullet"/>
      <w:lvlText w:val=""/>
      <w:lvlJc w:val="left"/>
      <w:pPr>
        <w:tabs>
          <w:tab w:val="num" w:pos="720"/>
        </w:tabs>
        <w:ind w:left="720" w:hanging="720"/>
      </w:pPr>
      <w:rPr>
        <w:rFonts w:ascii="Symbol" w:hAnsi="Symbol" w:hint="default"/>
      </w:rPr>
    </w:lvl>
  </w:abstractNum>
  <w:abstractNum w:abstractNumId="25" w15:restartNumberingAfterBreak="0">
    <w:nsid w:val="5A26200A"/>
    <w:multiLevelType w:val="hybridMultilevel"/>
    <w:tmpl w:val="C3B48044"/>
    <w:lvl w:ilvl="0" w:tplc="DA2A1A5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E971422"/>
    <w:multiLevelType w:val="hybridMultilevel"/>
    <w:tmpl w:val="1688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86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3A2B0A"/>
    <w:multiLevelType w:val="hybridMultilevel"/>
    <w:tmpl w:val="3716976E"/>
    <w:lvl w:ilvl="0" w:tplc="DA2A1A5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74876E5"/>
    <w:multiLevelType w:val="hybridMultilevel"/>
    <w:tmpl w:val="DB38A320"/>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0" w15:restartNumberingAfterBreak="0">
    <w:nsid w:val="6BBD6D48"/>
    <w:multiLevelType w:val="singleLevel"/>
    <w:tmpl w:val="ED0C7054"/>
    <w:lvl w:ilvl="0">
      <w:start w:val="1"/>
      <w:numFmt w:val="bullet"/>
      <w:lvlText w:val=""/>
      <w:lvlJc w:val="left"/>
      <w:pPr>
        <w:tabs>
          <w:tab w:val="num" w:pos="927"/>
        </w:tabs>
        <w:ind w:left="850" w:hanging="283"/>
      </w:pPr>
      <w:rPr>
        <w:rFonts w:ascii="Symbol" w:hAnsi="Symbol" w:hint="default"/>
      </w:rPr>
    </w:lvl>
  </w:abstractNum>
  <w:abstractNum w:abstractNumId="31" w15:restartNumberingAfterBreak="0">
    <w:nsid w:val="6C362D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284FAC"/>
    <w:multiLevelType w:val="hybridMultilevel"/>
    <w:tmpl w:val="8DF455B8"/>
    <w:lvl w:ilvl="0" w:tplc="DA2A1A5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3D926B1"/>
    <w:multiLevelType w:val="hybridMultilevel"/>
    <w:tmpl w:val="25269A32"/>
    <w:lvl w:ilvl="0" w:tplc="1C09000F">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6B1112"/>
    <w:multiLevelType w:val="hybridMultilevel"/>
    <w:tmpl w:val="107A58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762417D4"/>
    <w:multiLevelType w:val="hybridMultilevel"/>
    <w:tmpl w:val="C1A2D9E0"/>
    <w:lvl w:ilvl="0" w:tplc="DA2A1A5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9B90221"/>
    <w:multiLevelType w:val="multilevel"/>
    <w:tmpl w:val="A6D83BE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42604C"/>
    <w:multiLevelType w:val="singleLevel"/>
    <w:tmpl w:val="24820B76"/>
    <w:lvl w:ilvl="0">
      <w:start w:val="1"/>
      <w:numFmt w:val="lowerRoman"/>
      <w:lvlText w:val="(%1)"/>
      <w:lvlJc w:val="left"/>
      <w:pPr>
        <w:tabs>
          <w:tab w:val="num" w:pos="1146"/>
        </w:tabs>
        <w:ind w:left="1146" w:hanging="720"/>
      </w:pPr>
      <w:rPr>
        <w:rFonts w:cs="Times New Roman" w:hint="default"/>
      </w:rPr>
    </w:lvl>
  </w:abstractNum>
  <w:abstractNum w:abstractNumId="38" w15:restartNumberingAfterBreak="0">
    <w:nsid w:val="7D987D00"/>
    <w:multiLevelType w:val="hybridMultilevel"/>
    <w:tmpl w:val="6BBA4916"/>
    <w:lvl w:ilvl="0" w:tplc="04090001">
      <w:start w:val="1"/>
      <w:numFmt w:val="bullet"/>
      <w:lvlText w:val=""/>
      <w:lvlJc w:val="left"/>
      <w:pPr>
        <w:ind w:left="1514" w:hanging="360"/>
      </w:pPr>
      <w:rPr>
        <w:rFonts w:ascii="Symbol" w:hAnsi="Symbol" w:hint="default"/>
      </w:rPr>
    </w:lvl>
    <w:lvl w:ilvl="1" w:tplc="04090003">
      <w:start w:val="1"/>
      <w:numFmt w:val="bullet"/>
      <w:lvlText w:val="o"/>
      <w:lvlJc w:val="left"/>
      <w:pPr>
        <w:ind w:left="2234" w:hanging="360"/>
      </w:pPr>
      <w:rPr>
        <w:rFonts w:ascii="Courier New" w:hAnsi="Courier New" w:cs="Courier New" w:hint="default"/>
      </w:rPr>
    </w:lvl>
    <w:lvl w:ilvl="2" w:tplc="04090005">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9" w15:restartNumberingAfterBreak="0">
    <w:nsid w:val="7DE872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F71755B"/>
    <w:multiLevelType w:val="hybridMultilevel"/>
    <w:tmpl w:val="0FB63A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7"/>
  </w:num>
  <w:num w:numId="4">
    <w:abstractNumId w:val="37"/>
  </w:num>
  <w:num w:numId="5">
    <w:abstractNumId w:val="30"/>
  </w:num>
  <w:num w:numId="6">
    <w:abstractNumId w:val="39"/>
  </w:num>
  <w:num w:numId="7">
    <w:abstractNumId w:val="10"/>
  </w:num>
  <w:num w:numId="8">
    <w:abstractNumId w:val="27"/>
  </w:num>
  <w:num w:numId="9">
    <w:abstractNumId w:val="20"/>
  </w:num>
  <w:num w:numId="10">
    <w:abstractNumId w:val="31"/>
  </w:num>
  <w:num w:numId="11">
    <w:abstractNumId w:val="18"/>
  </w:num>
  <w:num w:numId="12">
    <w:abstractNumId w:val="23"/>
  </w:num>
  <w:num w:numId="13">
    <w:abstractNumId w:val="13"/>
  </w:num>
  <w:num w:numId="14">
    <w:abstractNumId w:val="4"/>
  </w:num>
  <w:num w:numId="15">
    <w:abstractNumId w:val="15"/>
  </w:num>
  <w:num w:numId="16">
    <w:abstractNumId w:val="9"/>
  </w:num>
  <w:num w:numId="17">
    <w:abstractNumId w:val="8"/>
  </w:num>
  <w:num w:numId="18">
    <w:abstractNumId w:val="33"/>
  </w:num>
  <w:num w:numId="19">
    <w:abstractNumId w:val="32"/>
  </w:num>
  <w:num w:numId="20">
    <w:abstractNumId w:val="28"/>
  </w:num>
  <w:num w:numId="21">
    <w:abstractNumId w:val="35"/>
  </w:num>
  <w:num w:numId="22">
    <w:abstractNumId w:val="25"/>
  </w:num>
  <w:num w:numId="23">
    <w:abstractNumId w:val="11"/>
  </w:num>
  <w:num w:numId="24">
    <w:abstractNumId w:val="0"/>
  </w:num>
  <w:num w:numId="25">
    <w:abstractNumId w:val="19"/>
  </w:num>
  <w:num w:numId="26">
    <w:abstractNumId w:val="1"/>
  </w:num>
  <w:num w:numId="27">
    <w:abstractNumId w:val="3"/>
  </w:num>
  <w:num w:numId="28">
    <w:abstractNumId w:val="16"/>
  </w:num>
  <w:num w:numId="29">
    <w:abstractNumId w:val="40"/>
  </w:num>
  <w:num w:numId="30">
    <w:abstractNumId w:val="14"/>
  </w:num>
  <w:num w:numId="31">
    <w:abstractNumId w:val="6"/>
  </w:num>
  <w:num w:numId="32">
    <w:abstractNumId w:val="7"/>
  </w:num>
  <w:num w:numId="33">
    <w:abstractNumId w:val="2"/>
  </w:num>
  <w:num w:numId="34">
    <w:abstractNumId w:val="34"/>
  </w:num>
  <w:num w:numId="35">
    <w:abstractNumId w:val="12"/>
  </w:num>
  <w:num w:numId="36">
    <w:abstractNumId w:val="21"/>
  </w:num>
  <w:num w:numId="37">
    <w:abstractNumId w:val="26"/>
  </w:num>
  <w:num w:numId="38">
    <w:abstractNumId w:val="5"/>
  </w:num>
  <w:num w:numId="39">
    <w:abstractNumId w:val="29"/>
  </w:num>
  <w:num w:numId="40">
    <w:abstractNumId w:val="38"/>
  </w:num>
  <w:num w:numId="41">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4E"/>
    <w:rsid w:val="00000F78"/>
    <w:rsid w:val="00004EC5"/>
    <w:rsid w:val="00005FC8"/>
    <w:rsid w:val="00006D29"/>
    <w:rsid w:val="000119EC"/>
    <w:rsid w:val="00011E2C"/>
    <w:rsid w:val="00017370"/>
    <w:rsid w:val="00017800"/>
    <w:rsid w:val="00020CDA"/>
    <w:rsid w:val="00021093"/>
    <w:rsid w:val="000233CF"/>
    <w:rsid w:val="00026721"/>
    <w:rsid w:val="000270B1"/>
    <w:rsid w:val="00030886"/>
    <w:rsid w:val="00030AD6"/>
    <w:rsid w:val="0003563C"/>
    <w:rsid w:val="00035A8C"/>
    <w:rsid w:val="00036407"/>
    <w:rsid w:val="00037014"/>
    <w:rsid w:val="0004203E"/>
    <w:rsid w:val="0004245A"/>
    <w:rsid w:val="000425D1"/>
    <w:rsid w:val="000452C2"/>
    <w:rsid w:val="00047EED"/>
    <w:rsid w:val="00050819"/>
    <w:rsid w:val="000529B7"/>
    <w:rsid w:val="00057997"/>
    <w:rsid w:val="00057F85"/>
    <w:rsid w:val="00062C44"/>
    <w:rsid w:val="000641AC"/>
    <w:rsid w:val="00064C8F"/>
    <w:rsid w:val="000705B2"/>
    <w:rsid w:val="00070C4F"/>
    <w:rsid w:val="00070EF9"/>
    <w:rsid w:val="00072A30"/>
    <w:rsid w:val="00072D1E"/>
    <w:rsid w:val="0008061B"/>
    <w:rsid w:val="0008588E"/>
    <w:rsid w:val="00087EFA"/>
    <w:rsid w:val="00091B2F"/>
    <w:rsid w:val="00094C5B"/>
    <w:rsid w:val="0009545E"/>
    <w:rsid w:val="000A0A1B"/>
    <w:rsid w:val="000A5AA5"/>
    <w:rsid w:val="000B1879"/>
    <w:rsid w:val="000B347F"/>
    <w:rsid w:val="000B58EC"/>
    <w:rsid w:val="000C14C4"/>
    <w:rsid w:val="000C320D"/>
    <w:rsid w:val="000C3B80"/>
    <w:rsid w:val="000C7581"/>
    <w:rsid w:val="000C7E95"/>
    <w:rsid w:val="000C7F09"/>
    <w:rsid w:val="000D116A"/>
    <w:rsid w:val="000D4FDB"/>
    <w:rsid w:val="000E19D3"/>
    <w:rsid w:val="000E372B"/>
    <w:rsid w:val="000E5279"/>
    <w:rsid w:val="000E7F0E"/>
    <w:rsid w:val="00100BBB"/>
    <w:rsid w:val="00102737"/>
    <w:rsid w:val="00106226"/>
    <w:rsid w:val="0010691E"/>
    <w:rsid w:val="00107653"/>
    <w:rsid w:val="00110192"/>
    <w:rsid w:val="00112E07"/>
    <w:rsid w:val="001144CA"/>
    <w:rsid w:val="00114B84"/>
    <w:rsid w:val="00116F94"/>
    <w:rsid w:val="00120C10"/>
    <w:rsid w:val="00122B9D"/>
    <w:rsid w:val="00122C94"/>
    <w:rsid w:val="00126E4C"/>
    <w:rsid w:val="001307A1"/>
    <w:rsid w:val="001318F7"/>
    <w:rsid w:val="00143EDD"/>
    <w:rsid w:val="00146335"/>
    <w:rsid w:val="001479C5"/>
    <w:rsid w:val="00150899"/>
    <w:rsid w:val="001508EB"/>
    <w:rsid w:val="00151259"/>
    <w:rsid w:val="0015593B"/>
    <w:rsid w:val="00157A51"/>
    <w:rsid w:val="00160F2F"/>
    <w:rsid w:val="00174878"/>
    <w:rsid w:val="00177AA0"/>
    <w:rsid w:val="00181BB1"/>
    <w:rsid w:val="001871BB"/>
    <w:rsid w:val="00191A88"/>
    <w:rsid w:val="00195460"/>
    <w:rsid w:val="00197CEB"/>
    <w:rsid w:val="001A088E"/>
    <w:rsid w:val="001A1962"/>
    <w:rsid w:val="001A1E7B"/>
    <w:rsid w:val="001A26E2"/>
    <w:rsid w:val="001A29EF"/>
    <w:rsid w:val="001A4723"/>
    <w:rsid w:val="001A752D"/>
    <w:rsid w:val="001B0424"/>
    <w:rsid w:val="001B109C"/>
    <w:rsid w:val="001B1DED"/>
    <w:rsid w:val="001B2D00"/>
    <w:rsid w:val="001B3E01"/>
    <w:rsid w:val="001B3E56"/>
    <w:rsid w:val="001B5FA9"/>
    <w:rsid w:val="001B6309"/>
    <w:rsid w:val="001B75ED"/>
    <w:rsid w:val="001B7F0A"/>
    <w:rsid w:val="001C25FD"/>
    <w:rsid w:val="001C3DBE"/>
    <w:rsid w:val="001C4530"/>
    <w:rsid w:val="001C74AC"/>
    <w:rsid w:val="001C7964"/>
    <w:rsid w:val="001D1372"/>
    <w:rsid w:val="001D5B45"/>
    <w:rsid w:val="001E104C"/>
    <w:rsid w:val="001E1A9B"/>
    <w:rsid w:val="001E68DE"/>
    <w:rsid w:val="001F0BCD"/>
    <w:rsid w:val="001F39D2"/>
    <w:rsid w:val="001F5F34"/>
    <w:rsid w:val="001F6945"/>
    <w:rsid w:val="00207ABE"/>
    <w:rsid w:val="002106B6"/>
    <w:rsid w:val="00212E4E"/>
    <w:rsid w:val="002134D7"/>
    <w:rsid w:val="002135F2"/>
    <w:rsid w:val="002140F2"/>
    <w:rsid w:val="00216122"/>
    <w:rsid w:val="0022222D"/>
    <w:rsid w:val="002230CE"/>
    <w:rsid w:val="00232DDD"/>
    <w:rsid w:val="00236718"/>
    <w:rsid w:val="0024261D"/>
    <w:rsid w:val="00243891"/>
    <w:rsid w:val="0024572F"/>
    <w:rsid w:val="00245FB7"/>
    <w:rsid w:val="00246383"/>
    <w:rsid w:val="002472D2"/>
    <w:rsid w:val="00250E43"/>
    <w:rsid w:val="0025100F"/>
    <w:rsid w:val="002510F4"/>
    <w:rsid w:val="00252023"/>
    <w:rsid w:val="0025352A"/>
    <w:rsid w:val="00257517"/>
    <w:rsid w:val="0026157E"/>
    <w:rsid w:val="00263B56"/>
    <w:rsid w:val="00265446"/>
    <w:rsid w:val="00266120"/>
    <w:rsid w:val="002726C3"/>
    <w:rsid w:val="00274141"/>
    <w:rsid w:val="00275A9D"/>
    <w:rsid w:val="002803B6"/>
    <w:rsid w:val="00280F59"/>
    <w:rsid w:val="00283E62"/>
    <w:rsid w:val="00285775"/>
    <w:rsid w:val="00286EEC"/>
    <w:rsid w:val="00292CBE"/>
    <w:rsid w:val="0029310B"/>
    <w:rsid w:val="002936AD"/>
    <w:rsid w:val="002A3822"/>
    <w:rsid w:val="002A72E4"/>
    <w:rsid w:val="002C4791"/>
    <w:rsid w:val="002C550D"/>
    <w:rsid w:val="002C5C91"/>
    <w:rsid w:val="002C6E30"/>
    <w:rsid w:val="002D2B1E"/>
    <w:rsid w:val="002D3438"/>
    <w:rsid w:val="002D3ECE"/>
    <w:rsid w:val="002D4551"/>
    <w:rsid w:val="002D46AB"/>
    <w:rsid w:val="002D546B"/>
    <w:rsid w:val="002E3BA4"/>
    <w:rsid w:val="002E4332"/>
    <w:rsid w:val="002E5DB7"/>
    <w:rsid w:val="002E73B4"/>
    <w:rsid w:val="002E7A86"/>
    <w:rsid w:val="002F19E0"/>
    <w:rsid w:val="002F2C03"/>
    <w:rsid w:val="002F3376"/>
    <w:rsid w:val="002F3743"/>
    <w:rsid w:val="002F697C"/>
    <w:rsid w:val="0030042B"/>
    <w:rsid w:val="0030332B"/>
    <w:rsid w:val="0030353B"/>
    <w:rsid w:val="003037D2"/>
    <w:rsid w:val="00306053"/>
    <w:rsid w:val="00307EFD"/>
    <w:rsid w:val="00310F5B"/>
    <w:rsid w:val="00312785"/>
    <w:rsid w:val="00314016"/>
    <w:rsid w:val="00315585"/>
    <w:rsid w:val="00322D69"/>
    <w:rsid w:val="003254D3"/>
    <w:rsid w:val="00327D72"/>
    <w:rsid w:val="00330989"/>
    <w:rsid w:val="003312D4"/>
    <w:rsid w:val="003316F5"/>
    <w:rsid w:val="00331AD1"/>
    <w:rsid w:val="003343FE"/>
    <w:rsid w:val="00334E41"/>
    <w:rsid w:val="0034052B"/>
    <w:rsid w:val="003407F8"/>
    <w:rsid w:val="0034407B"/>
    <w:rsid w:val="00344E8C"/>
    <w:rsid w:val="00350899"/>
    <w:rsid w:val="00352B78"/>
    <w:rsid w:val="0035467F"/>
    <w:rsid w:val="00357417"/>
    <w:rsid w:val="00357F4F"/>
    <w:rsid w:val="003612AF"/>
    <w:rsid w:val="0036634A"/>
    <w:rsid w:val="00367D51"/>
    <w:rsid w:val="003700D5"/>
    <w:rsid w:val="00370D19"/>
    <w:rsid w:val="00372590"/>
    <w:rsid w:val="00373A8C"/>
    <w:rsid w:val="00377053"/>
    <w:rsid w:val="00377384"/>
    <w:rsid w:val="00380A67"/>
    <w:rsid w:val="0038302A"/>
    <w:rsid w:val="0038432C"/>
    <w:rsid w:val="00385012"/>
    <w:rsid w:val="00390E6D"/>
    <w:rsid w:val="00391CBA"/>
    <w:rsid w:val="00393B86"/>
    <w:rsid w:val="003A2715"/>
    <w:rsid w:val="003A3BA0"/>
    <w:rsid w:val="003B02F5"/>
    <w:rsid w:val="003B3E71"/>
    <w:rsid w:val="003B5E4F"/>
    <w:rsid w:val="003C1F45"/>
    <w:rsid w:val="003C1F7F"/>
    <w:rsid w:val="003C436B"/>
    <w:rsid w:val="003C6D08"/>
    <w:rsid w:val="003C7AC5"/>
    <w:rsid w:val="003C7C6D"/>
    <w:rsid w:val="003D140B"/>
    <w:rsid w:val="003D160E"/>
    <w:rsid w:val="003D6C57"/>
    <w:rsid w:val="003E28DD"/>
    <w:rsid w:val="003E2D8C"/>
    <w:rsid w:val="003E30DB"/>
    <w:rsid w:val="003E3BA6"/>
    <w:rsid w:val="003E4BA5"/>
    <w:rsid w:val="003E7435"/>
    <w:rsid w:val="003F3548"/>
    <w:rsid w:val="003F4EBF"/>
    <w:rsid w:val="003F6A50"/>
    <w:rsid w:val="003F7573"/>
    <w:rsid w:val="0040084E"/>
    <w:rsid w:val="004040ED"/>
    <w:rsid w:val="00406EDE"/>
    <w:rsid w:val="00406F96"/>
    <w:rsid w:val="0042436A"/>
    <w:rsid w:val="00425656"/>
    <w:rsid w:val="00426A9A"/>
    <w:rsid w:val="0043251C"/>
    <w:rsid w:val="00432A11"/>
    <w:rsid w:val="004334D4"/>
    <w:rsid w:val="0043682C"/>
    <w:rsid w:val="00436A8D"/>
    <w:rsid w:val="00436DF0"/>
    <w:rsid w:val="00437EC1"/>
    <w:rsid w:val="00440854"/>
    <w:rsid w:val="00440915"/>
    <w:rsid w:val="00440BC5"/>
    <w:rsid w:val="00445858"/>
    <w:rsid w:val="00445D21"/>
    <w:rsid w:val="00446231"/>
    <w:rsid w:val="004509B0"/>
    <w:rsid w:val="004512E0"/>
    <w:rsid w:val="004518E5"/>
    <w:rsid w:val="004527ED"/>
    <w:rsid w:val="00454A26"/>
    <w:rsid w:val="004614BD"/>
    <w:rsid w:val="0046388E"/>
    <w:rsid w:val="004729C0"/>
    <w:rsid w:val="00474E8A"/>
    <w:rsid w:val="00476991"/>
    <w:rsid w:val="00476F4E"/>
    <w:rsid w:val="004865F9"/>
    <w:rsid w:val="00487324"/>
    <w:rsid w:val="004876DD"/>
    <w:rsid w:val="004903D9"/>
    <w:rsid w:val="0049243B"/>
    <w:rsid w:val="00492B2A"/>
    <w:rsid w:val="00493E4B"/>
    <w:rsid w:val="00497788"/>
    <w:rsid w:val="004A4E9F"/>
    <w:rsid w:val="004B02AA"/>
    <w:rsid w:val="004B1744"/>
    <w:rsid w:val="004B17AA"/>
    <w:rsid w:val="004B390E"/>
    <w:rsid w:val="004B3A00"/>
    <w:rsid w:val="004C0907"/>
    <w:rsid w:val="004C0AEE"/>
    <w:rsid w:val="004C0B09"/>
    <w:rsid w:val="004C3D58"/>
    <w:rsid w:val="004C53F6"/>
    <w:rsid w:val="004C7330"/>
    <w:rsid w:val="004C7ED8"/>
    <w:rsid w:val="004D0AA8"/>
    <w:rsid w:val="004D6D67"/>
    <w:rsid w:val="004D70FA"/>
    <w:rsid w:val="004E0A8B"/>
    <w:rsid w:val="004E1C55"/>
    <w:rsid w:val="004E45E4"/>
    <w:rsid w:val="004E4772"/>
    <w:rsid w:val="004F1A9E"/>
    <w:rsid w:val="004F276C"/>
    <w:rsid w:val="004F352E"/>
    <w:rsid w:val="004F5CEE"/>
    <w:rsid w:val="004F6598"/>
    <w:rsid w:val="005004A8"/>
    <w:rsid w:val="0050296C"/>
    <w:rsid w:val="00505C78"/>
    <w:rsid w:val="00505D1A"/>
    <w:rsid w:val="00505F1E"/>
    <w:rsid w:val="00506F54"/>
    <w:rsid w:val="00511285"/>
    <w:rsid w:val="005125FA"/>
    <w:rsid w:val="0051272A"/>
    <w:rsid w:val="005136A0"/>
    <w:rsid w:val="00517A4B"/>
    <w:rsid w:val="005227B2"/>
    <w:rsid w:val="0053192F"/>
    <w:rsid w:val="0053334E"/>
    <w:rsid w:val="00535061"/>
    <w:rsid w:val="005359D2"/>
    <w:rsid w:val="005400F6"/>
    <w:rsid w:val="00541C7C"/>
    <w:rsid w:val="00544BEF"/>
    <w:rsid w:val="00546119"/>
    <w:rsid w:val="00546237"/>
    <w:rsid w:val="00546A98"/>
    <w:rsid w:val="005470A1"/>
    <w:rsid w:val="00553087"/>
    <w:rsid w:val="0055494C"/>
    <w:rsid w:val="00560065"/>
    <w:rsid w:val="005607BA"/>
    <w:rsid w:val="0056753E"/>
    <w:rsid w:val="00571490"/>
    <w:rsid w:val="0057530D"/>
    <w:rsid w:val="005874BE"/>
    <w:rsid w:val="005916DD"/>
    <w:rsid w:val="00596413"/>
    <w:rsid w:val="005A01F0"/>
    <w:rsid w:val="005A43D1"/>
    <w:rsid w:val="005A7BB9"/>
    <w:rsid w:val="005A7CAC"/>
    <w:rsid w:val="005B1A24"/>
    <w:rsid w:val="005B25C2"/>
    <w:rsid w:val="005B382D"/>
    <w:rsid w:val="005C141A"/>
    <w:rsid w:val="005D0312"/>
    <w:rsid w:val="005D1D64"/>
    <w:rsid w:val="005D1F97"/>
    <w:rsid w:val="005D3179"/>
    <w:rsid w:val="005D4512"/>
    <w:rsid w:val="005E0FED"/>
    <w:rsid w:val="005E20C0"/>
    <w:rsid w:val="005E4118"/>
    <w:rsid w:val="005E583B"/>
    <w:rsid w:val="005F47DB"/>
    <w:rsid w:val="005F4A0C"/>
    <w:rsid w:val="005F7B48"/>
    <w:rsid w:val="005F7F60"/>
    <w:rsid w:val="00600E59"/>
    <w:rsid w:val="00601A69"/>
    <w:rsid w:val="00602C19"/>
    <w:rsid w:val="00603954"/>
    <w:rsid w:val="00604154"/>
    <w:rsid w:val="00604DD9"/>
    <w:rsid w:val="00610F2D"/>
    <w:rsid w:val="00613CC0"/>
    <w:rsid w:val="00616759"/>
    <w:rsid w:val="006168CD"/>
    <w:rsid w:val="0062136C"/>
    <w:rsid w:val="00626B0F"/>
    <w:rsid w:val="00627A9D"/>
    <w:rsid w:val="00627E8F"/>
    <w:rsid w:val="006325EC"/>
    <w:rsid w:val="006360F7"/>
    <w:rsid w:val="006363DC"/>
    <w:rsid w:val="00636D5F"/>
    <w:rsid w:val="00640009"/>
    <w:rsid w:val="00640A01"/>
    <w:rsid w:val="00641229"/>
    <w:rsid w:val="00642084"/>
    <w:rsid w:val="00643E0E"/>
    <w:rsid w:val="00644AE0"/>
    <w:rsid w:val="006450FF"/>
    <w:rsid w:val="00650B2F"/>
    <w:rsid w:val="00651002"/>
    <w:rsid w:val="00651C20"/>
    <w:rsid w:val="00652015"/>
    <w:rsid w:val="00652179"/>
    <w:rsid w:val="006559AF"/>
    <w:rsid w:val="006573EB"/>
    <w:rsid w:val="00660730"/>
    <w:rsid w:val="00661CFB"/>
    <w:rsid w:val="00662114"/>
    <w:rsid w:val="00662BC3"/>
    <w:rsid w:val="0066513C"/>
    <w:rsid w:val="00666B09"/>
    <w:rsid w:val="00667155"/>
    <w:rsid w:val="0067285A"/>
    <w:rsid w:val="0067355D"/>
    <w:rsid w:val="0067387A"/>
    <w:rsid w:val="00673A88"/>
    <w:rsid w:val="00675268"/>
    <w:rsid w:val="0068104D"/>
    <w:rsid w:val="00682904"/>
    <w:rsid w:val="006830D0"/>
    <w:rsid w:val="006837EA"/>
    <w:rsid w:val="00697274"/>
    <w:rsid w:val="006A1579"/>
    <w:rsid w:val="006A36E9"/>
    <w:rsid w:val="006A371B"/>
    <w:rsid w:val="006A52FC"/>
    <w:rsid w:val="006A6E60"/>
    <w:rsid w:val="006A7CBD"/>
    <w:rsid w:val="006B062F"/>
    <w:rsid w:val="006B0729"/>
    <w:rsid w:val="006B183E"/>
    <w:rsid w:val="006B2910"/>
    <w:rsid w:val="006B4DF2"/>
    <w:rsid w:val="006B5681"/>
    <w:rsid w:val="006B7EF9"/>
    <w:rsid w:val="006C2F2D"/>
    <w:rsid w:val="006C33DE"/>
    <w:rsid w:val="006D335C"/>
    <w:rsid w:val="006D486F"/>
    <w:rsid w:val="006D48D9"/>
    <w:rsid w:val="006D4957"/>
    <w:rsid w:val="006D587C"/>
    <w:rsid w:val="006D5E73"/>
    <w:rsid w:val="006E7233"/>
    <w:rsid w:val="006F36D8"/>
    <w:rsid w:val="006F5CD8"/>
    <w:rsid w:val="006F6ED3"/>
    <w:rsid w:val="0070762E"/>
    <w:rsid w:val="007109B1"/>
    <w:rsid w:val="0071218F"/>
    <w:rsid w:val="00716D2D"/>
    <w:rsid w:val="00723B6D"/>
    <w:rsid w:val="007259DD"/>
    <w:rsid w:val="00727472"/>
    <w:rsid w:val="00730162"/>
    <w:rsid w:val="007304DB"/>
    <w:rsid w:val="00731B4F"/>
    <w:rsid w:val="007337DD"/>
    <w:rsid w:val="00737499"/>
    <w:rsid w:val="00737A97"/>
    <w:rsid w:val="00737AF2"/>
    <w:rsid w:val="007439BB"/>
    <w:rsid w:val="007447D1"/>
    <w:rsid w:val="00751EB5"/>
    <w:rsid w:val="007540EB"/>
    <w:rsid w:val="0075441B"/>
    <w:rsid w:val="00755A34"/>
    <w:rsid w:val="00760E87"/>
    <w:rsid w:val="0076204F"/>
    <w:rsid w:val="00762446"/>
    <w:rsid w:val="00763164"/>
    <w:rsid w:val="00763168"/>
    <w:rsid w:val="00765B16"/>
    <w:rsid w:val="00765E34"/>
    <w:rsid w:val="00766991"/>
    <w:rsid w:val="00767A64"/>
    <w:rsid w:val="00767B05"/>
    <w:rsid w:val="00771CF5"/>
    <w:rsid w:val="00771E86"/>
    <w:rsid w:val="00771EC2"/>
    <w:rsid w:val="007733F6"/>
    <w:rsid w:val="00775AE2"/>
    <w:rsid w:val="00775C3A"/>
    <w:rsid w:val="00780489"/>
    <w:rsid w:val="007831A0"/>
    <w:rsid w:val="0078395A"/>
    <w:rsid w:val="0078688A"/>
    <w:rsid w:val="007907FA"/>
    <w:rsid w:val="00790AE7"/>
    <w:rsid w:val="00794AD1"/>
    <w:rsid w:val="007956C0"/>
    <w:rsid w:val="00795BEA"/>
    <w:rsid w:val="0079676B"/>
    <w:rsid w:val="007A3157"/>
    <w:rsid w:val="007A3C8C"/>
    <w:rsid w:val="007A751F"/>
    <w:rsid w:val="007A7920"/>
    <w:rsid w:val="007B0F90"/>
    <w:rsid w:val="007B1246"/>
    <w:rsid w:val="007B4CB2"/>
    <w:rsid w:val="007B7E39"/>
    <w:rsid w:val="007C3E9F"/>
    <w:rsid w:val="007E0905"/>
    <w:rsid w:val="007E1643"/>
    <w:rsid w:val="007E2D05"/>
    <w:rsid w:val="007E4232"/>
    <w:rsid w:val="007E4CA5"/>
    <w:rsid w:val="007E5E29"/>
    <w:rsid w:val="007E5E7C"/>
    <w:rsid w:val="007F1B9B"/>
    <w:rsid w:val="007F1DCE"/>
    <w:rsid w:val="007F268B"/>
    <w:rsid w:val="007F4C10"/>
    <w:rsid w:val="007F51D5"/>
    <w:rsid w:val="00805693"/>
    <w:rsid w:val="00812337"/>
    <w:rsid w:val="008170E5"/>
    <w:rsid w:val="00824063"/>
    <w:rsid w:val="008268E7"/>
    <w:rsid w:val="00832319"/>
    <w:rsid w:val="00835A79"/>
    <w:rsid w:val="00836111"/>
    <w:rsid w:val="00837221"/>
    <w:rsid w:val="00840E47"/>
    <w:rsid w:val="00841585"/>
    <w:rsid w:val="008442D3"/>
    <w:rsid w:val="00844BAA"/>
    <w:rsid w:val="0084545A"/>
    <w:rsid w:val="008464D1"/>
    <w:rsid w:val="00846F30"/>
    <w:rsid w:val="008479BB"/>
    <w:rsid w:val="00847AE5"/>
    <w:rsid w:val="0085115B"/>
    <w:rsid w:val="00853FE1"/>
    <w:rsid w:val="00860546"/>
    <w:rsid w:val="008631C1"/>
    <w:rsid w:val="008725D2"/>
    <w:rsid w:val="0087705E"/>
    <w:rsid w:val="0088079B"/>
    <w:rsid w:val="00881DC3"/>
    <w:rsid w:val="008845F4"/>
    <w:rsid w:val="00886096"/>
    <w:rsid w:val="0088724A"/>
    <w:rsid w:val="008916F8"/>
    <w:rsid w:val="00896671"/>
    <w:rsid w:val="008A0210"/>
    <w:rsid w:val="008A214E"/>
    <w:rsid w:val="008A21F7"/>
    <w:rsid w:val="008A3F66"/>
    <w:rsid w:val="008A40CF"/>
    <w:rsid w:val="008A4E1A"/>
    <w:rsid w:val="008B0AA6"/>
    <w:rsid w:val="008B0F02"/>
    <w:rsid w:val="008B2377"/>
    <w:rsid w:val="008B6B37"/>
    <w:rsid w:val="008B70B3"/>
    <w:rsid w:val="008C21FF"/>
    <w:rsid w:val="008C27D1"/>
    <w:rsid w:val="008C359D"/>
    <w:rsid w:val="008C38F8"/>
    <w:rsid w:val="008C67DF"/>
    <w:rsid w:val="008C6EA3"/>
    <w:rsid w:val="008D3748"/>
    <w:rsid w:val="008D38FB"/>
    <w:rsid w:val="008D61E7"/>
    <w:rsid w:val="008D66EF"/>
    <w:rsid w:val="008D783B"/>
    <w:rsid w:val="008E2BF3"/>
    <w:rsid w:val="008E34C1"/>
    <w:rsid w:val="008E3EDE"/>
    <w:rsid w:val="008E4CA6"/>
    <w:rsid w:val="008E6A18"/>
    <w:rsid w:val="008F11D0"/>
    <w:rsid w:val="008F2C42"/>
    <w:rsid w:val="008F308D"/>
    <w:rsid w:val="008F4B84"/>
    <w:rsid w:val="008F5EAF"/>
    <w:rsid w:val="008F6D9C"/>
    <w:rsid w:val="009007C0"/>
    <w:rsid w:val="00900A9F"/>
    <w:rsid w:val="009016A9"/>
    <w:rsid w:val="00903C10"/>
    <w:rsid w:val="00910F32"/>
    <w:rsid w:val="00911FCD"/>
    <w:rsid w:val="00912956"/>
    <w:rsid w:val="00915112"/>
    <w:rsid w:val="00915A87"/>
    <w:rsid w:val="00921566"/>
    <w:rsid w:val="00922313"/>
    <w:rsid w:val="009225B6"/>
    <w:rsid w:val="00923B06"/>
    <w:rsid w:val="00925E22"/>
    <w:rsid w:val="009318DB"/>
    <w:rsid w:val="00932096"/>
    <w:rsid w:val="00932317"/>
    <w:rsid w:val="00932E3D"/>
    <w:rsid w:val="0093325F"/>
    <w:rsid w:val="00935D46"/>
    <w:rsid w:val="00944425"/>
    <w:rsid w:val="009472F7"/>
    <w:rsid w:val="009520EE"/>
    <w:rsid w:val="009540C8"/>
    <w:rsid w:val="00955D58"/>
    <w:rsid w:val="009573D6"/>
    <w:rsid w:val="00957DB1"/>
    <w:rsid w:val="009711BC"/>
    <w:rsid w:val="00971F4A"/>
    <w:rsid w:val="0097583E"/>
    <w:rsid w:val="00982BEB"/>
    <w:rsid w:val="0098341A"/>
    <w:rsid w:val="009856E4"/>
    <w:rsid w:val="00990A42"/>
    <w:rsid w:val="00992DB2"/>
    <w:rsid w:val="0099713D"/>
    <w:rsid w:val="009A1012"/>
    <w:rsid w:val="009A6A82"/>
    <w:rsid w:val="009B021F"/>
    <w:rsid w:val="009B16A7"/>
    <w:rsid w:val="009B21D3"/>
    <w:rsid w:val="009B54C7"/>
    <w:rsid w:val="009B5C1C"/>
    <w:rsid w:val="009B7541"/>
    <w:rsid w:val="009C0349"/>
    <w:rsid w:val="009C108E"/>
    <w:rsid w:val="009C2588"/>
    <w:rsid w:val="009C2725"/>
    <w:rsid w:val="009C39EF"/>
    <w:rsid w:val="009C70B4"/>
    <w:rsid w:val="009D13A9"/>
    <w:rsid w:val="009D192B"/>
    <w:rsid w:val="009D2671"/>
    <w:rsid w:val="009D275B"/>
    <w:rsid w:val="009D2F62"/>
    <w:rsid w:val="009D40C7"/>
    <w:rsid w:val="009D6065"/>
    <w:rsid w:val="009D60AA"/>
    <w:rsid w:val="009E01AB"/>
    <w:rsid w:val="009E08FB"/>
    <w:rsid w:val="009E112B"/>
    <w:rsid w:val="009E1B1E"/>
    <w:rsid w:val="009E1F6F"/>
    <w:rsid w:val="009E2D8E"/>
    <w:rsid w:val="009E306C"/>
    <w:rsid w:val="009E715A"/>
    <w:rsid w:val="009F1867"/>
    <w:rsid w:val="009F1C4F"/>
    <w:rsid w:val="009F1E31"/>
    <w:rsid w:val="009F372A"/>
    <w:rsid w:val="009F3D42"/>
    <w:rsid w:val="009F4903"/>
    <w:rsid w:val="009F6055"/>
    <w:rsid w:val="009F6E07"/>
    <w:rsid w:val="00A10C67"/>
    <w:rsid w:val="00A10D51"/>
    <w:rsid w:val="00A14036"/>
    <w:rsid w:val="00A14FF5"/>
    <w:rsid w:val="00A15D72"/>
    <w:rsid w:val="00A21A75"/>
    <w:rsid w:val="00A2279E"/>
    <w:rsid w:val="00A243EF"/>
    <w:rsid w:val="00A25853"/>
    <w:rsid w:val="00A26A1E"/>
    <w:rsid w:val="00A26F02"/>
    <w:rsid w:val="00A33252"/>
    <w:rsid w:val="00A336D0"/>
    <w:rsid w:val="00A34751"/>
    <w:rsid w:val="00A35FE1"/>
    <w:rsid w:val="00A402AB"/>
    <w:rsid w:val="00A40394"/>
    <w:rsid w:val="00A40C9C"/>
    <w:rsid w:val="00A40FA7"/>
    <w:rsid w:val="00A45F24"/>
    <w:rsid w:val="00A5018B"/>
    <w:rsid w:val="00A5241B"/>
    <w:rsid w:val="00A616BC"/>
    <w:rsid w:val="00A64F63"/>
    <w:rsid w:val="00A664A9"/>
    <w:rsid w:val="00A70936"/>
    <w:rsid w:val="00A70F7C"/>
    <w:rsid w:val="00A72DD5"/>
    <w:rsid w:val="00A74927"/>
    <w:rsid w:val="00A75ED8"/>
    <w:rsid w:val="00A822BC"/>
    <w:rsid w:val="00A8614A"/>
    <w:rsid w:val="00A86224"/>
    <w:rsid w:val="00A9177C"/>
    <w:rsid w:val="00A92C82"/>
    <w:rsid w:val="00AA5E86"/>
    <w:rsid w:val="00AA7417"/>
    <w:rsid w:val="00AA7BCB"/>
    <w:rsid w:val="00AB15FB"/>
    <w:rsid w:val="00AB2DA5"/>
    <w:rsid w:val="00AB54B9"/>
    <w:rsid w:val="00AB6897"/>
    <w:rsid w:val="00AB7A3D"/>
    <w:rsid w:val="00AC2D5C"/>
    <w:rsid w:val="00AC3241"/>
    <w:rsid w:val="00AC5A85"/>
    <w:rsid w:val="00AC5BDE"/>
    <w:rsid w:val="00AD29D0"/>
    <w:rsid w:val="00AD3834"/>
    <w:rsid w:val="00AD42D5"/>
    <w:rsid w:val="00AD45C7"/>
    <w:rsid w:val="00AD7881"/>
    <w:rsid w:val="00AE0865"/>
    <w:rsid w:val="00AE3596"/>
    <w:rsid w:val="00AE4ACC"/>
    <w:rsid w:val="00AE56D6"/>
    <w:rsid w:val="00AE6A7D"/>
    <w:rsid w:val="00AE6E47"/>
    <w:rsid w:val="00AF369C"/>
    <w:rsid w:val="00AF46CB"/>
    <w:rsid w:val="00AF7DD4"/>
    <w:rsid w:val="00B00E5F"/>
    <w:rsid w:val="00B01186"/>
    <w:rsid w:val="00B030BB"/>
    <w:rsid w:val="00B0687C"/>
    <w:rsid w:val="00B07E89"/>
    <w:rsid w:val="00B11583"/>
    <w:rsid w:val="00B12E00"/>
    <w:rsid w:val="00B1343D"/>
    <w:rsid w:val="00B14432"/>
    <w:rsid w:val="00B15866"/>
    <w:rsid w:val="00B15DE2"/>
    <w:rsid w:val="00B1755D"/>
    <w:rsid w:val="00B20708"/>
    <w:rsid w:val="00B252E2"/>
    <w:rsid w:val="00B2543C"/>
    <w:rsid w:val="00B30A83"/>
    <w:rsid w:val="00B3111A"/>
    <w:rsid w:val="00B32F26"/>
    <w:rsid w:val="00B373E2"/>
    <w:rsid w:val="00B41495"/>
    <w:rsid w:val="00B416D7"/>
    <w:rsid w:val="00B43B06"/>
    <w:rsid w:val="00B471DF"/>
    <w:rsid w:val="00B50393"/>
    <w:rsid w:val="00B54E62"/>
    <w:rsid w:val="00B63E7C"/>
    <w:rsid w:val="00B65EE3"/>
    <w:rsid w:val="00B65FFD"/>
    <w:rsid w:val="00B668AE"/>
    <w:rsid w:val="00B706BC"/>
    <w:rsid w:val="00B720CF"/>
    <w:rsid w:val="00B727FD"/>
    <w:rsid w:val="00B7482D"/>
    <w:rsid w:val="00B80A56"/>
    <w:rsid w:val="00B84BD0"/>
    <w:rsid w:val="00B85126"/>
    <w:rsid w:val="00B91A30"/>
    <w:rsid w:val="00B91D8D"/>
    <w:rsid w:val="00B93B96"/>
    <w:rsid w:val="00B95EF1"/>
    <w:rsid w:val="00B963D4"/>
    <w:rsid w:val="00BA2DBF"/>
    <w:rsid w:val="00BA6478"/>
    <w:rsid w:val="00BA6D48"/>
    <w:rsid w:val="00BB1585"/>
    <w:rsid w:val="00BB282D"/>
    <w:rsid w:val="00BB538B"/>
    <w:rsid w:val="00BB55E6"/>
    <w:rsid w:val="00BC0D4A"/>
    <w:rsid w:val="00BC27AC"/>
    <w:rsid w:val="00BC4310"/>
    <w:rsid w:val="00BC508F"/>
    <w:rsid w:val="00BC5103"/>
    <w:rsid w:val="00BC5CBF"/>
    <w:rsid w:val="00BC752E"/>
    <w:rsid w:val="00BD0BC1"/>
    <w:rsid w:val="00BD1FFD"/>
    <w:rsid w:val="00BD5AF3"/>
    <w:rsid w:val="00BD6AF4"/>
    <w:rsid w:val="00BD6C75"/>
    <w:rsid w:val="00BE2487"/>
    <w:rsid w:val="00BE38B3"/>
    <w:rsid w:val="00BE5D1A"/>
    <w:rsid w:val="00BE5D5A"/>
    <w:rsid w:val="00BE65EB"/>
    <w:rsid w:val="00BE6BB5"/>
    <w:rsid w:val="00BF0396"/>
    <w:rsid w:val="00BF2707"/>
    <w:rsid w:val="00BF5511"/>
    <w:rsid w:val="00BF7F96"/>
    <w:rsid w:val="00C04C04"/>
    <w:rsid w:val="00C068E4"/>
    <w:rsid w:val="00C069E0"/>
    <w:rsid w:val="00C06A0C"/>
    <w:rsid w:val="00C13838"/>
    <w:rsid w:val="00C1598E"/>
    <w:rsid w:val="00C16ADA"/>
    <w:rsid w:val="00C213B8"/>
    <w:rsid w:val="00C2167F"/>
    <w:rsid w:val="00C253EB"/>
    <w:rsid w:val="00C254E9"/>
    <w:rsid w:val="00C272E1"/>
    <w:rsid w:val="00C3160C"/>
    <w:rsid w:val="00C31A11"/>
    <w:rsid w:val="00C31C4E"/>
    <w:rsid w:val="00C3380A"/>
    <w:rsid w:val="00C34D57"/>
    <w:rsid w:val="00C37E24"/>
    <w:rsid w:val="00C44A89"/>
    <w:rsid w:val="00C44F62"/>
    <w:rsid w:val="00C46F0D"/>
    <w:rsid w:val="00C5040A"/>
    <w:rsid w:val="00C537F0"/>
    <w:rsid w:val="00C54CAE"/>
    <w:rsid w:val="00C57CA2"/>
    <w:rsid w:val="00C615A8"/>
    <w:rsid w:val="00C65FF4"/>
    <w:rsid w:val="00C66999"/>
    <w:rsid w:val="00C673B5"/>
    <w:rsid w:val="00C677A2"/>
    <w:rsid w:val="00C70B24"/>
    <w:rsid w:val="00C70F9A"/>
    <w:rsid w:val="00C71D1B"/>
    <w:rsid w:val="00C720CB"/>
    <w:rsid w:val="00C75E97"/>
    <w:rsid w:val="00C85F20"/>
    <w:rsid w:val="00C86F2C"/>
    <w:rsid w:val="00C919DC"/>
    <w:rsid w:val="00C9504D"/>
    <w:rsid w:val="00C96051"/>
    <w:rsid w:val="00CA0DB2"/>
    <w:rsid w:val="00CA1E6D"/>
    <w:rsid w:val="00CA2021"/>
    <w:rsid w:val="00CA2588"/>
    <w:rsid w:val="00CA5B7E"/>
    <w:rsid w:val="00CA6EC8"/>
    <w:rsid w:val="00CB05AE"/>
    <w:rsid w:val="00CB2F14"/>
    <w:rsid w:val="00CC0054"/>
    <w:rsid w:val="00CC0B80"/>
    <w:rsid w:val="00CC10A5"/>
    <w:rsid w:val="00CC1BF2"/>
    <w:rsid w:val="00CC478F"/>
    <w:rsid w:val="00CC6160"/>
    <w:rsid w:val="00CC6CAB"/>
    <w:rsid w:val="00CD117E"/>
    <w:rsid w:val="00CD324C"/>
    <w:rsid w:val="00CD350D"/>
    <w:rsid w:val="00CD3C8D"/>
    <w:rsid w:val="00CD4126"/>
    <w:rsid w:val="00CD6389"/>
    <w:rsid w:val="00CD76FA"/>
    <w:rsid w:val="00CE14BF"/>
    <w:rsid w:val="00CE39E5"/>
    <w:rsid w:val="00CE42FF"/>
    <w:rsid w:val="00CE67B5"/>
    <w:rsid w:val="00CE7254"/>
    <w:rsid w:val="00CF0459"/>
    <w:rsid w:val="00CF28ED"/>
    <w:rsid w:val="00CF327F"/>
    <w:rsid w:val="00CF3FB1"/>
    <w:rsid w:val="00CF4248"/>
    <w:rsid w:val="00CF6B9C"/>
    <w:rsid w:val="00D0334E"/>
    <w:rsid w:val="00D0481A"/>
    <w:rsid w:val="00D121E5"/>
    <w:rsid w:val="00D1375F"/>
    <w:rsid w:val="00D154B4"/>
    <w:rsid w:val="00D220C5"/>
    <w:rsid w:val="00D22B4E"/>
    <w:rsid w:val="00D23843"/>
    <w:rsid w:val="00D242E9"/>
    <w:rsid w:val="00D26C39"/>
    <w:rsid w:val="00D30D9F"/>
    <w:rsid w:val="00D32563"/>
    <w:rsid w:val="00D35B9E"/>
    <w:rsid w:val="00D361A3"/>
    <w:rsid w:val="00D41032"/>
    <w:rsid w:val="00D42DBE"/>
    <w:rsid w:val="00D45541"/>
    <w:rsid w:val="00D474AF"/>
    <w:rsid w:val="00D50F66"/>
    <w:rsid w:val="00D527B8"/>
    <w:rsid w:val="00D52D65"/>
    <w:rsid w:val="00D53E4C"/>
    <w:rsid w:val="00D56B6E"/>
    <w:rsid w:val="00D579AC"/>
    <w:rsid w:val="00D6004C"/>
    <w:rsid w:val="00D6033F"/>
    <w:rsid w:val="00D6039F"/>
    <w:rsid w:val="00D6102B"/>
    <w:rsid w:val="00D61D10"/>
    <w:rsid w:val="00D63841"/>
    <w:rsid w:val="00D753AF"/>
    <w:rsid w:val="00D859A9"/>
    <w:rsid w:val="00D86EA6"/>
    <w:rsid w:val="00D90B7A"/>
    <w:rsid w:val="00D93DD5"/>
    <w:rsid w:val="00D94B27"/>
    <w:rsid w:val="00DA2152"/>
    <w:rsid w:val="00DA271F"/>
    <w:rsid w:val="00DA3D4B"/>
    <w:rsid w:val="00DA45F3"/>
    <w:rsid w:val="00DB3481"/>
    <w:rsid w:val="00DB35EF"/>
    <w:rsid w:val="00DC7A7F"/>
    <w:rsid w:val="00DD26F8"/>
    <w:rsid w:val="00DD3BEA"/>
    <w:rsid w:val="00DD6696"/>
    <w:rsid w:val="00DE1DBA"/>
    <w:rsid w:val="00DE2A2A"/>
    <w:rsid w:val="00DE3055"/>
    <w:rsid w:val="00DE3A6F"/>
    <w:rsid w:val="00DF0727"/>
    <w:rsid w:val="00DF215D"/>
    <w:rsid w:val="00E063DE"/>
    <w:rsid w:val="00E06B1A"/>
    <w:rsid w:val="00E11322"/>
    <w:rsid w:val="00E12252"/>
    <w:rsid w:val="00E12D57"/>
    <w:rsid w:val="00E12FFA"/>
    <w:rsid w:val="00E20CEE"/>
    <w:rsid w:val="00E219FB"/>
    <w:rsid w:val="00E22BB0"/>
    <w:rsid w:val="00E2541C"/>
    <w:rsid w:val="00E27763"/>
    <w:rsid w:val="00E27B89"/>
    <w:rsid w:val="00E27C93"/>
    <w:rsid w:val="00E3098F"/>
    <w:rsid w:val="00E31296"/>
    <w:rsid w:val="00E34C9A"/>
    <w:rsid w:val="00E37BA8"/>
    <w:rsid w:val="00E4427A"/>
    <w:rsid w:val="00E44974"/>
    <w:rsid w:val="00E453B3"/>
    <w:rsid w:val="00E45AB3"/>
    <w:rsid w:val="00E46B01"/>
    <w:rsid w:val="00E52DF5"/>
    <w:rsid w:val="00E62D33"/>
    <w:rsid w:val="00E666BE"/>
    <w:rsid w:val="00E67628"/>
    <w:rsid w:val="00E67D84"/>
    <w:rsid w:val="00E67E55"/>
    <w:rsid w:val="00E8157A"/>
    <w:rsid w:val="00E81EA3"/>
    <w:rsid w:val="00E8214A"/>
    <w:rsid w:val="00E87DFA"/>
    <w:rsid w:val="00E87F6D"/>
    <w:rsid w:val="00E91D7D"/>
    <w:rsid w:val="00E93DE8"/>
    <w:rsid w:val="00E9602F"/>
    <w:rsid w:val="00E97F7A"/>
    <w:rsid w:val="00EA436A"/>
    <w:rsid w:val="00EA75C0"/>
    <w:rsid w:val="00EB1A13"/>
    <w:rsid w:val="00EB61DA"/>
    <w:rsid w:val="00EB6D91"/>
    <w:rsid w:val="00EB7FFB"/>
    <w:rsid w:val="00EC1176"/>
    <w:rsid w:val="00EC3085"/>
    <w:rsid w:val="00EC5274"/>
    <w:rsid w:val="00EC5EA6"/>
    <w:rsid w:val="00EC7BF6"/>
    <w:rsid w:val="00ED2EB4"/>
    <w:rsid w:val="00ED4343"/>
    <w:rsid w:val="00ED605D"/>
    <w:rsid w:val="00ED6473"/>
    <w:rsid w:val="00EE0B28"/>
    <w:rsid w:val="00EE5FCB"/>
    <w:rsid w:val="00EE6928"/>
    <w:rsid w:val="00EE6BB0"/>
    <w:rsid w:val="00EF2E1D"/>
    <w:rsid w:val="00EF5353"/>
    <w:rsid w:val="00EF5AA1"/>
    <w:rsid w:val="00F0229C"/>
    <w:rsid w:val="00F06604"/>
    <w:rsid w:val="00F10890"/>
    <w:rsid w:val="00F120B9"/>
    <w:rsid w:val="00F143F4"/>
    <w:rsid w:val="00F155B7"/>
    <w:rsid w:val="00F15DD9"/>
    <w:rsid w:val="00F1717C"/>
    <w:rsid w:val="00F217F7"/>
    <w:rsid w:val="00F228F9"/>
    <w:rsid w:val="00F2450A"/>
    <w:rsid w:val="00F245CC"/>
    <w:rsid w:val="00F27DBE"/>
    <w:rsid w:val="00F3162D"/>
    <w:rsid w:val="00F32052"/>
    <w:rsid w:val="00F360E3"/>
    <w:rsid w:val="00F4056D"/>
    <w:rsid w:val="00F413D3"/>
    <w:rsid w:val="00F463B6"/>
    <w:rsid w:val="00F47769"/>
    <w:rsid w:val="00F50F37"/>
    <w:rsid w:val="00F5266D"/>
    <w:rsid w:val="00F55D51"/>
    <w:rsid w:val="00F61002"/>
    <w:rsid w:val="00F63AAF"/>
    <w:rsid w:val="00F74363"/>
    <w:rsid w:val="00F752DD"/>
    <w:rsid w:val="00F760CA"/>
    <w:rsid w:val="00F767A5"/>
    <w:rsid w:val="00F772CC"/>
    <w:rsid w:val="00F83433"/>
    <w:rsid w:val="00F84DC5"/>
    <w:rsid w:val="00F85086"/>
    <w:rsid w:val="00F871B8"/>
    <w:rsid w:val="00F87CA8"/>
    <w:rsid w:val="00F901BC"/>
    <w:rsid w:val="00F92DB8"/>
    <w:rsid w:val="00F94E4B"/>
    <w:rsid w:val="00F95DF0"/>
    <w:rsid w:val="00F9639F"/>
    <w:rsid w:val="00FA0EA8"/>
    <w:rsid w:val="00FA38AD"/>
    <w:rsid w:val="00FA7016"/>
    <w:rsid w:val="00FB2332"/>
    <w:rsid w:val="00FB3B6A"/>
    <w:rsid w:val="00FB46D5"/>
    <w:rsid w:val="00FC02DF"/>
    <w:rsid w:val="00FC0D86"/>
    <w:rsid w:val="00FC100C"/>
    <w:rsid w:val="00FC23C1"/>
    <w:rsid w:val="00FC2536"/>
    <w:rsid w:val="00FC2CED"/>
    <w:rsid w:val="00FC4DD4"/>
    <w:rsid w:val="00FC75EA"/>
    <w:rsid w:val="00FD2423"/>
    <w:rsid w:val="00FD411B"/>
    <w:rsid w:val="00FD51CC"/>
    <w:rsid w:val="00FD6C5C"/>
    <w:rsid w:val="00FD6F99"/>
    <w:rsid w:val="00FE2EC4"/>
    <w:rsid w:val="00FE31D6"/>
    <w:rsid w:val="00FE3E7C"/>
    <w:rsid w:val="00FE7F7A"/>
    <w:rsid w:val="00FF3F31"/>
    <w:rsid w:val="00FF50E6"/>
    <w:rsid w:val="00FF7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1D8B16"/>
  <w15:docId w15:val="{321420BF-5AA1-470A-9414-79F6FD0C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B06"/>
    <w:pPr>
      <w:widowControl w:val="0"/>
    </w:pPr>
    <w:rPr>
      <w:sz w:val="24"/>
      <w:lang w:val="en-GB"/>
    </w:rPr>
  </w:style>
  <w:style w:type="paragraph" w:styleId="Heading1">
    <w:name w:val="heading 1"/>
    <w:basedOn w:val="Normal"/>
    <w:next w:val="Normal"/>
    <w:link w:val="Heading1Char"/>
    <w:qFormat/>
    <w:rsid w:val="00436A8D"/>
    <w:pPr>
      <w:keepNext/>
      <w:tabs>
        <w:tab w:val="left" w:pos="567"/>
      </w:tabs>
      <w:suppressAutoHyphens/>
      <w:spacing w:before="360" w:line="280" w:lineRule="atLeast"/>
      <w:ind w:left="567" w:hanging="567"/>
      <w:outlineLvl w:val="0"/>
    </w:pPr>
    <w:rPr>
      <w:rFonts w:ascii="Arial" w:hAnsi="Arial"/>
      <w:b/>
      <w:color w:val="000000"/>
      <w:sz w:val="20"/>
    </w:rPr>
  </w:style>
  <w:style w:type="paragraph" w:styleId="Heading2">
    <w:name w:val="heading 2"/>
    <w:basedOn w:val="Normal"/>
    <w:next w:val="Normal"/>
    <w:link w:val="Heading2Char"/>
    <w:qFormat/>
    <w:rsid w:val="00AA5E86"/>
    <w:pPr>
      <w:keepNext/>
      <w:tabs>
        <w:tab w:val="left" w:pos="680"/>
      </w:tabs>
      <w:suppressAutoHyphens/>
      <w:spacing w:before="240" w:line="280" w:lineRule="atLeast"/>
      <w:outlineLvl w:val="1"/>
    </w:pPr>
    <w:rPr>
      <w:rFonts w:ascii="Arial" w:hAnsi="Arial"/>
      <w:b/>
      <w:sz w:val="20"/>
    </w:rPr>
  </w:style>
  <w:style w:type="paragraph" w:styleId="Heading3">
    <w:name w:val="heading 3"/>
    <w:basedOn w:val="Normal"/>
    <w:next w:val="Normal"/>
    <w:qFormat/>
    <w:rsid w:val="00035A8C"/>
    <w:pPr>
      <w:keepNext/>
      <w:tabs>
        <w:tab w:val="left" w:pos="794"/>
      </w:tabs>
      <w:suppressAutoHyphens/>
      <w:spacing w:before="240" w:line="280" w:lineRule="atLeast"/>
      <w:outlineLvl w:val="2"/>
    </w:pPr>
    <w:rPr>
      <w:rFonts w:ascii="Arial" w:hAnsi="Arial"/>
      <w:b/>
      <w:color w:val="000000"/>
      <w:sz w:val="20"/>
    </w:rPr>
  </w:style>
  <w:style w:type="paragraph" w:styleId="Heading4">
    <w:name w:val="heading 4"/>
    <w:basedOn w:val="Normal"/>
    <w:next w:val="Normal"/>
    <w:qFormat/>
    <w:rsid w:val="00923B06"/>
    <w:pPr>
      <w:keepNext/>
      <w:widowControl/>
      <w:pBdr>
        <w:top w:val="single" w:sz="6" w:space="1" w:color="auto"/>
        <w:left w:val="single" w:sz="6" w:space="4" w:color="auto"/>
        <w:bottom w:val="single" w:sz="6" w:space="1" w:color="auto"/>
        <w:right w:val="single" w:sz="6" w:space="4" w:color="auto"/>
      </w:pBdr>
      <w:shd w:val="pct10"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Arial" w:hAnsi="Arial"/>
      <w:b/>
      <w:color w:val="000000"/>
    </w:rPr>
  </w:style>
  <w:style w:type="paragraph" w:styleId="Heading5">
    <w:name w:val="heading 5"/>
    <w:basedOn w:val="Normal"/>
    <w:next w:val="Normal"/>
    <w:qFormat/>
    <w:rsid w:val="00923B0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4"/>
    </w:pPr>
    <w:rPr>
      <w:rFonts w:ascii="Arial" w:hAnsi="Arial"/>
      <w:b/>
      <w:i/>
      <w:color w:val="000000"/>
      <w:sz w:val="20"/>
    </w:rPr>
  </w:style>
  <w:style w:type="paragraph" w:styleId="Heading6">
    <w:name w:val="heading 6"/>
    <w:basedOn w:val="Normal"/>
    <w:next w:val="Normal"/>
    <w:qFormat/>
    <w:rsid w:val="00923B06"/>
    <w:pPr>
      <w:keepNext/>
      <w:widowControl/>
      <w:pBdr>
        <w:top w:val="single" w:sz="6" w:space="1" w:color="auto"/>
        <w:left w:val="single" w:sz="6" w:space="4" w:color="auto"/>
        <w:bottom w:val="single" w:sz="6" w:space="1" w:color="auto"/>
        <w:right w:val="single" w:sz="6" w:space="4" w:color="auto"/>
      </w:pBdr>
      <w:shd w:val="pct5"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284"/>
      <w:outlineLvl w:val="5"/>
    </w:pPr>
    <w:rPr>
      <w:rFonts w:ascii="Arial" w:hAnsi="Arial"/>
      <w:b/>
      <w:color w:val="000000"/>
    </w:rPr>
  </w:style>
  <w:style w:type="paragraph" w:styleId="Heading7">
    <w:name w:val="heading 7"/>
    <w:basedOn w:val="Normal"/>
    <w:next w:val="Normal"/>
    <w:qFormat/>
    <w:rsid w:val="00923B06"/>
    <w:pPr>
      <w:keepNext/>
      <w:widowControl/>
      <w:tabs>
        <w:tab w:val="left" w:pos="-6318"/>
        <w:tab w:val="left" w:pos="-5598"/>
        <w:tab w:val="left" w:pos="-4878"/>
        <w:tab w:val="left" w:pos="-4158"/>
        <w:tab w:val="left" w:pos="-3438"/>
        <w:tab w:val="left" w:pos="-2718"/>
        <w:tab w:val="left" w:pos="-1998"/>
        <w:tab w:val="left" w:pos="-1278"/>
        <w:tab w:val="left" w:pos="-558"/>
        <w:tab w:val="left" w:pos="162"/>
        <w:tab w:val="left" w:pos="882"/>
        <w:tab w:val="left" w:pos="1602"/>
        <w:tab w:val="left" w:pos="2322"/>
      </w:tabs>
      <w:suppressAutoHyphens/>
      <w:jc w:val="center"/>
      <w:outlineLvl w:val="6"/>
    </w:pPr>
    <w:rPr>
      <w:rFonts w:ascii="Arial" w:hAnsi="Arial"/>
      <w:b/>
      <w:color w:val="000000"/>
    </w:rPr>
  </w:style>
  <w:style w:type="paragraph" w:styleId="Heading8">
    <w:name w:val="heading 8"/>
    <w:basedOn w:val="Normal"/>
    <w:next w:val="Normal"/>
    <w:qFormat/>
    <w:rsid w:val="00923B06"/>
    <w:pPr>
      <w:keepNext/>
      <w:widowControl/>
      <w:pBdr>
        <w:top w:val="single" w:sz="6" w:space="1" w:color="auto"/>
        <w:left w:val="single" w:sz="6" w:space="4" w:color="auto"/>
        <w:bottom w:val="single" w:sz="6" w:space="1" w:color="auto"/>
        <w:right w:val="single" w:sz="6" w:space="4" w:color="auto"/>
      </w:pBdr>
      <w:shd w:val="pct5"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284"/>
      <w:jc w:val="both"/>
      <w:outlineLvl w:val="7"/>
    </w:pPr>
    <w:rPr>
      <w:rFonts w:ascii="Arial" w:hAnsi="Arial"/>
      <w:b/>
      <w:color w:val="000000"/>
    </w:rPr>
  </w:style>
  <w:style w:type="paragraph" w:styleId="Heading9">
    <w:name w:val="heading 9"/>
    <w:basedOn w:val="Normal"/>
    <w:next w:val="Normal"/>
    <w:qFormat/>
    <w:rsid w:val="00923B06"/>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23B06"/>
  </w:style>
  <w:style w:type="character" w:styleId="EndnoteReference">
    <w:name w:val="endnote reference"/>
    <w:semiHidden/>
    <w:rsid w:val="00923B06"/>
    <w:rPr>
      <w:rFonts w:cs="Times New Roman"/>
      <w:vertAlign w:val="superscript"/>
    </w:rPr>
  </w:style>
  <w:style w:type="paragraph" w:styleId="FootnoteText">
    <w:name w:val="footnote text"/>
    <w:basedOn w:val="Normal"/>
    <w:semiHidden/>
    <w:rsid w:val="00923B06"/>
  </w:style>
  <w:style w:type="character" w:styleId="FootnoteReference">
    <w:name w:val="footnote reference"/>
    <w:semiHidden/>
    <w:rsid w:val="00923B06"/>
    <w:rPr>
      <w:rFonts w:cs="Times New Roman"/>
      <w:vertAlign w:val="superscript"/>
    </w:rPr>
  </w:style>
  <w:style w:type="paragraph" w:styleId="TOC1">
    <w:name w:val="toc 1"/>
    <w:basedOn w:val="Normal"/>
    <w:next w:val="Normal"/>
    <w:autoRedefine/>
    <w:uiPriority w:val="39"/>
    <w:qFormat/>
    <w:rsid w:val="00436A8D"/>
    <w:pPr>
      <w:tabs>
        <w:tab w:val="left" w:pos="851"/>
        <w:tab w:val="right" w:leader="dot" w:pos="9072"/>
      </w:tabs>
      <w:suppressAutoHyphens/>
      <w:spacing w:before="240"/>
      <w:ind w:left="851" w:hanging="567"/>
    </w:pPr>
    <w:rPr>
      <w:rFonts w:ascii="Arial" w:hAnsi="Arial"/>
      <w:b/>
      <w:sz w:val="20"/>
      <w:lang w:val="en-US"/>
    </w:rPr>
  </w:style>
  <w:style w:type="paragraph" w:styleId="TOC2">
    <w:name w:val="toc 2"/>
    <w:basedOn w:val="Normal"/>
    <w:next w:val="Normal"/>
    <w:autoRedefine/>
    <w:uiPriority w:val="39"/>
    <w:qFormat/>
    <w:rsid w:val="00436A8D"/>
    <w:pPr>
      <w:tabs>
        <w:tab w:val="left" w:pos="964"/>
        <w:tab w:val="right" w:leader="dot" w:pos="9072"/>
      </w:tabs>
      <w:suppressAutoHyphens/>
      <w:spacing w:before="120" w:after="60"/>
      <w:ind w:left="964" w:hanging="680"/>
    </w:pPr>
    <w:rPr>
      <w:rFonts w:ascii="Arial" w:hAnsi="Arial" w:cs="Arial"/>
      <w:noProof/>
      <w:sz w:val="20"/>
      <w:lang w:val="en-US"/>
    </w:rPr>
  </w:style>
  <w:style w:type="paragraph" w:styleId="TOC3">
    <w:name w:val="toc 3"/>
    <w:basedOn w:val="Normal"/>
    <w:next w:val="Normal"/>
    <w:autoRedefine/>
    <w:uiPriority w:val="39"/>
    <w:qFormat/>
    <w:rsid w:val="00436A8D"/>
    <w:pPr>
      <w:tabs>
        <w:tab w:val="left" w:pos="1077"/>
        <w:tab w:val="right" w:leader="dot" w:pos="9072"/>
      </w:tabs>
      <w:suppressAutoHyphens/>
      <w:spacing w:before="120"/>
      <w:ind w:left="284" w:right="284"/>
    </w:pPr>
    <w:rPr>
      <w:rFonts w:ascii="Arial" w:hAnsi="Arial"/>
      <w:sz w:val="20"/>
      <w:lang w:val="en-US"/>
    </w:rPr>
  </w:style>
  <w:style w:type="paragraph" w:styleId="TOC4">
    <w:name w:val="toc 4"/>
    <w:basedOn w:val="Normal"/>
    <w:next w:val="Normal"/>
    <w:autoRedefine/>
    <w:semiHidden/>
    <w:rsid w:val="00923B06"/>
    <w:pPr>
      <w:tabs>
        <w:tab w:val="right" w:leader="dot" w:pos="9360"/>
      </w:tabs>
      <w:suppressAutoHyphens/>
      <w:ind w:left="2880" w:right="720" w:hanging="720"/>
    </w:pPr>
    <w:rPr>
      <w:lang w:val="en-US"/>
    </w:rPr>
  </w:style>
  <w:style w:type="paragraph" w:styleId="TOC5">
    <w:name w:val="toc 5"/>
    <w:basedOn w:val="Normal"/>
    <w:next w:val="Normal"/>
    <w:autoRedefine/>
    <w:semiHidden/>
    <w:rsid w:val="00923B06"/>
    <w:pPr>
      <w:tabs>
        <w:tab w:val="right" w:leader="dot" w:pos="9360"/>
      </w:tabs>
      <w:suppressAutoHyphens/>
      <w:ind w:left="3600" w:right="720" w:hanging="720"/>
    </w:pPr>
    <w:rPr>
      <w:lang w:val="en-US"/>
    </w:rPr>
  </w:style>
  <w:style w:type="paragraph" w:styleId="TOC6">
    <w:name w:val="toc 6"/>
    <w:basedOn w:val="Normal"/>
    <w:next w:val="Normal"/>
    <w:autoRedefine/>
    <w:semiHidden/>
    <w:rsid w:val="00923B06"/>
    <w:pPr>
      <w:tabs>
        <w:tab w:val="right" w:pos="9360"/>
      </w:tabs>
      <w:suppressAutoHyphens/>
      <w:ind w:left="720" w:hanging="720"/>
    </w:pPr>
    <w:rPr>
      <w:lang w:val="en-US"/>
    </w:rPr>
  </w:style>
  <w:style w:type="paragraph" w:styleId="TOC7">
    <w:name w:val="toc 7"/>
    <w:basedOn w:val="Normal"/>
    <w:next w:val="Normal"/>
    <w:autoRedefine/>
    <w:semiHidden/>
    <w:rsid w:val="00923B06"/>
    <w:pPr>
      <w:suppressAutoHyphens/>
      <w:ind w:left="720" w:hanging="720"/>
    </w:pPr>
    <w:rPr>
      <w:lang w:val="en-US"/>
    </w:rPr>
  </w:style>
  <w:style w:type="paragraph" w:styleId="TOC8">
    <w:name w:val="toc 8"/>
    <w:basedOn w:val="Normal"/>
    <w:next w:val="Normal"/>
    <w:autoRedefine/>
    <w:semiHidden/>
    <w:rsid w:val="00923B06"/>
    <w:pPr>
      <w:tabs>
        <w:tab w:val="right" w:pos="9360"/>
      </w:tabs>
      <w:suppressAutoHyphens/>
      <w:ind w:left="720" w:hanging="720"/>
    </w:pPr>
    <w:rPr>
      <w:lang w:val="en-US"/>
    </w:rPr>
  </w:style>
  <w:style w:type="paragraph" w:styleId="TOC9">
    <w:name w:val="toc 9"/>
    <w:basedOn w:val="Normal"/>
    <w:next w:val="Normal"/>
    <w:autoRedefine/>
    <w:semiHidden/>
    <w:rsid w:val="00923B06"/>
    <w:pPr>
      <w:tabs>
        <w:tab w:val="right" w:leader="dot" w:pos="9360"/>
      </w:tabs>
      <w:suppressAutoHyphens/>
      <w:ind w:left="720" w:hanging="720"/>
    </w:pPr>
    <w:rPr>
      <w:lang w:val="en-US"/>
    </w:rPr>
  </w:style>
  <w:style w:type="paragraph" w:styleId="Index1">
    <w:name w:val="index 1"/>
    <w:basedOn w:val="Normal"/>
    <w:next w:val="Normal"/>
    <w:autoRedefine/>
    <w:semiHidden/>
    <w:rsid w:val="00923B06"/>
    <w:pPr>
      <w:tabs>
        <w:tab w:val="right" w:leader="dot" w:pos="9360"/>
      </w:tabs>
      <w:suppressAutoHyphens/>
      <w:ind w:left="1440" w:right="720" w:hanging="1440"/>
    </w:pPr>
    <w:rPr>
      <w:lang w:val="en-US"/>
    </w:rPr>
  </w:style>
  <w:style w:type="paragraph" w:styleId="Index2">
    <w:name w:val="index 2"/>
    <w:basedOn w:val="Normal"/>
    <w:next w:val="Normal"/>
    <w:autoRedefine/>
    <w:semiHidden/>
    <w:rsid w:val="00923B06"/>
    <w:pPr>
      <w:tabs>
        <w:tab w:val="right" w:leader="dot" w:pos="9360"/>
      </w:tabs>
      <w:suppressAutoHyphens/>
      <w:ind w:left="1440" w:right="720" w:hanging="720"/>
    </w:pPr>
    <w:rPr>
      <w:lang w:val="en-US"/>
    </w:rPr>
  </w:style>
  <w:style w:type="paragraph" w:styleId="TOAHeading">
    <w:name w:val="toa heading"/>
    <w:basedOn w:val="Normal"/>
    <w:next w:val="Normal"/>
    <w:semiHidden/>
    <w:rsid w:val="00923B06"/>
    <w:pPr>
      <w:tabs>
        <w:tab w:val="right" w:pos="9360"/>
      </w:tabs>
      <w:suppressAutoHyphens/>
    </w:pPr>
    <w:rPr>
      <w:lang w:val="en-US"/>
    </w:rPr>
  </w:style>
  <w:style w:type="paragraph" w:styleId="Caption">
    <w:name w:val="caption"/>
    <w:basedOn w:val="Normal"/>
    <w:next w:val="Normal"/>
    <w:qFormat/>
    <w:rsid w:val="00923B06"/>
  </w:style>
  <w:style w:type="character" w:customStyle="1" w:styleId="EquationCaption">
    <w:name w:val="_Equation Caption"/>
    <w:rsid w:val="00923B06"/>
  </w:style>
  <w:style w:type="paragraph" w:styleId="BodyTextIndent">
    <w:name w:val="Body Text Indent"/>
    <w:basedOn w:val="Normal"/>
    <w:rsid w:val="00923B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color w:val="000000"/>
    </w:rPr>
  </w:style>
  <w:style w:type="paragraph" w:styleId="BodyText">
    <w:name w:val="Body Text"/>
    <w:basedOn w:val="Normal"/>
    <w:rsid w:val="00923B06"/>
    <w:pPr>
      <w:spacing w:after="120"/>
    </w:pPr>
  </w:style>
  <w:style w:type="paragraph" w:styleId="BodyTextIndent2">
    <w:name w:val="Body Text Indent 2"/>
    <w:basedOn w:val="Normal"/>
    <w:rsid w:val="00923B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rFonts w:ascii="Arial" w:hAnsi="Arial"/>
      <w:color w:val="000000"/>
    </w:rPr>
  </w:style>
  <w:style w:type="paragraph" w:styleId="BodyTextIndent3">
    <w:name w:val="Body Text Indent 3"/>
    <w:basedOn w:val="Normal"/>
    <w:rsid w:val="00923B06"/>
    <w:pPr>
      <w:tabs>
        <w:tab w:val="left" w:pos="-720"/>
        <w:tab w:val="left" w:pos="0"/>
      </w:tabs>
      <w:suppressAutoHyphens/>
      <w:ind w:left="360"/>
    </w:pPr>
    <w:rPr>
      <w:rFonts w:ascii="Arial" w:hAnsi="Arial"/>
      <w:color w:val="000000"/>
    </w:rPr>
  </w:style>
  <w:style w:type="character" w:styleId="Hyperlink">
    <w:name w:val="Hyperlink"/>
    <w:uiPriority w:val="99"/>
    <w:rsid w:val="00923B06"/>
    <w:rPr>
      <w:rFonts w:cs="Times New Roman"/>
      <w:color w:val="0000FF"/>
      <w:u w:val="single"/>
    </w:rPr>
  </w:style>
  <w:style w:type="paragraph" w:styleId="BodyText3">
    <w:name w:val="Body Text 3"/>
    <w:basedOn w:val="Normal"/>
    <w:rsid w:val="00923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Arial" w:hAnsi="Arial"/>
      <w:b/>
      <w:i/>
      <w:color w:val="000000"/>
    </w:rPr>
  </w:style>
  <w:style w:type="paragraph" w:styleId="Title">
    <w:name w:val="Title"/>
    <w:basedOn w:val="Normal"/>
    <w:qFormat/>
    <w:rsid w:val="00923B06"/>
    <w:pPr>
      <w:jc w:val="center"/>
    </w:pPr>
    <w:rPr>
      <w:b/>
      <w:sz w:val="28"/>
    </w:rPr>
  </w:style>
  <w:style w:type="paragraph" w:styleId="Header">
    <w:name w:val="header"/>
    <w:basedOn w:val="Normal"/>
    <w:rsid w:val="00923B06"/>
    <w:pPr>
      <w:tabs>
        <w:tab w:val="center" w:pos="4153"/>
        <w:tab w:val="right" w:pos="8306"/>
      </w:tabs>
    </w:pPr>
  </w:style>
  <w:style w:type="paragraph" w:styleId="Footer">
    <w:name w:val="footer"/>
    <w:basedOn w:val="Normal"/>
    <w:rsid w:val="00923B06"/>
    <w:pPr>
      <w:tabs>
        <w:tab w:val="center" w:pos="4153"/>
        <w:tab w:val="right" w:pos="8306"/>
      </w:tabs>
    </w:pPr>
  </w:style>
  <w:style w:type="character" w:styleId="PageNumber">
    <w:name w:val="page number"/>
    <w:rsid w:val="00923B06"/>
    <w:rPr>
      <w:rFonts w:cs="Times New Roman"/>
    </w:rPr>
  </w:style>
  <w:style w:type="paragraph" w:styleId="ListParagraph">
    <w:name w:val="List Paragraph"/>
    <w:basedOn w:val="Normal"/>
    <w:uiPriority w:val="34"/>
    <w:qFormat/>
    <w:rsid w:val="00D30D9F"/>
    <w:pPr>
      <w:widowControl/>
      <w:ind w:left="720"/>
      <w:contextualSpacing/>
    </w:pPr>
    <w:rPr>
      <w:szCs w:val="24"/>
      <w:lang w:val="it-IT" w:eastAsia="it-IT"/>
    </w:rPr>
  </w:style>
  <w:style w:type="table" w:styleId="TableGrid">
    <w:name w:val="Table Grid"/>
    <w:basedOn w:val="TableNormal"/>
    <w:rsid w:val="00236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52DF5"/>
    <w:rPr>
      <w:rFonts w:cs="Times New Roman"/>
      <w:color w:val="800080"/>
      <w:u w:val="single"/>
    </w:rPr>
  </w:style>
  <w:style w:type="numbering" w:customStyle="1" w:styleId="Style1">
    <w:name w:val="Style1"/>
    <w:rsid w:val="000E5B17"/>
    <w:pPr>
      <w:numPr>
        <w:numId w:val="14"/>
      </w:numPr>
    </w:pPr>
  </w:style>
  <w:style w:type="paragraph" w:styleId="BalloonText">
    <w:name w:val="Balloon Text"/>
    <w:basedOn w:val="Normal"/>
    <w:link w:val="BalloonTextChar"/>
    <w:rsid w:val="008631C1"/>
    <w:rPr>
      <w:rFonts w:ascii="Tahoma" w:hAnsi="Tahoma"/>
      <w:sz w:val="16"/>
      <w:szCs w:val="16"/>
    </w:rPr>
  </w:style>
  <w:style w:type="character" w:customStyle="1" w:styleId="BalloonTextChar">
    <w:name w:val="Balloon Text Char"/>
    <w:link w:val="BalloonText"/>
    <w:rsid w:val="008631C1"/>
    <w:rPr>
      <w:rFonts w:ascii="Tahoma" w:hAnsi="Tahoma" w:cs="Tahoma"/>
      <w:sz w:val="16"/>
      <w:szCs w:val="16"/>
      <w:lang w:val="en-GB" w:eastAsia="en-US"/>
    </w:rPr>
  </w:style>
  <w:style w:type="character" w:styleId="Emphasis">
    <w:name w:val="Emphasis"/>
    <w:qFormat/>
    <w:locked/>
    <w:rsid w:val="007F268B"/>
    <w:rPr>
      <w:i/>
      <w:iCs/>
    </w:rPr>
  </w:style>
  <w:style w:type="paragraph" w:styleId="TOCHeading">
    <w:name w:val="TOC Heading"/>
    <w:basedOn w:val="Heading1"/>
    <w:next w:val="Normal"/>
    <w:uiPriority w:val="39"/>
    <w:semiHidden/>
    <w:unhideWhenUsed/>
    <w:qFormat/>
    <w:rsid w:val="007F268B"/>
    <w:pPr>
      <w:keepLines/>
      <w:widowControl/>
      <w:tabs>
        <w:tab w:val="clear" w:pos="567"/>
      </w:tabs>
      <w:suppressAutoHyphens w:val="0"/>
      <w:spacing w:before="480" w:line="276" w:lineRule="auto"/>
      <w:outlineLvl w:val="9"/>
    </w:pPr>
    <w:rPr>
      <w:rFonts w:ascii="Cambria" w:eastAsia="MS Gothic" w:hAnsi="Cambria"/>
      <w:bCs/>
      <w:color w:val="365F91"/>
      <w:sz w:val="28"/>
      <w:szCs w:val="28"/>
      <w:lang w:val="en-US" w:eastAsia="ja-JP"/>
    </w:rPr>
  </w:style>
  <w:style w:type="character" w:styleId="CommentReference">
    <w:name w:val="annotation reference"/>
    <w:rsid w:val="007B7E39"/>
    <w:rPr>
      <w:sz w:val="16"/>
      <w:szCs w:val="16"/>
    </w:rPr>
  </w:style>
  <w:style w:type="paragraph" w:styleId="CommentText">
    <w:name w:val="annotation text"/>
    <w:basedOn w:val="Normal"/>
    <w:link w:val="CommentTextChar"/>
    <w:rsid w:val="007B7E39"/>
    <w:rPr>
      <w:sz w:val="20"/>
    </w:rPr>
  </w:style>
  <w:style w:type="character" w:customStyle="1" w:styleId="CommentTextChar">
    <w:name w:val="Comment Text Char"/>
    <w:link w:val="CommentText"/>
    <w:rsid w:val="007B7E39"/>
    <w:rPr>
      <w:lang w:val="en-GB" w:eastAsia="en-US"/>
    </w:rPr>
  </w:style>
  <w:style w:type="paragraph" w:styleId="CommentSubject">
    <w:name w:val="annotation subject"/>
    <w:basedOn w:val="CommentText"/>
    <w:next w:val="CommentText"/>
    <w:link w:val="CommentSubjectChar"/>
    <w:rsid w:val="007B7E39"/>
    <w:rPr>
      <w:b/>
      <w:bCs/>
    </w:rPr>
  </w:style>
  <w:style w:type="character" w:customStyle="1" w:styleId="CommentSubjectChar">
    <w:name w:val="Comment Subject Char"/>
    <w:link w:val="CommentSubject"/>
    <w:rsid w:val="007B7E39"/>
    <w:rPr>
      <w:b/>
      <w:bCs/>
      <w:lang w:val="en-GB" w:eastAsia="en-US"/>
    </w:rPr>
  </w:style>
  <w:style w:type="character" w:customStyle="1" w:styleId="Heading1Char">
    <w:name w:val="Heading 1 Char"/>
    <w:link w:val="Heading1"/>
    <w:rsid w:val="00436A8D"/>
    <w:rPr>
      <w:rFonts w:ascii="Arial" w:hAnsi="Arial"/>
      <w:b/>
      <w:color w:val="000000"/>
      <w:lang w:val="en-GB"/>
    </w:rPr>
  </w:style>
  <w:style w:type="character" w:customStyle="1" w:styleId="Heading2Char">
    <w:name w:val="Heading 2 Char"/>
    <w:link w:val="Heading2"/>
    <w:rsid w:val="00A64F63"/>
    <w:rPr>
      <w:rFonts w:ascii="Arial" w:hAnsi="Arial"/>
      <w:b/>
      <w:lang w:val="en-GB"/>
    </w:rPr>
  </w:style>
  <w:style w:type="paragraph" w:customStyle="1" w:styleId="Default">
    <w:name w:val="Default"/>
    <w:rsid w:val="008B0F02"/>
    <w:pPr>
      <w:autoSpaceDE w:val="0"/>
      <w:autoSpaceDN w:val="0"/>
      <w:adjustRightInd w:val="0"/>
    </w:pPr>
    <w:rPr>
      <w:rFonts w:ascii="Garamond" w:hAnsi="Garamond" w:cs="Garamond"/>
      <w:color w:val="000000"/>
      <w:sz w:val="24"/>
      <w:szCs w:val="24"/>
      <w:lang w:val="en-ZA"/>
    </w:rPr>
  </w:style>
  <w:style w:type="paragraph" w:styleId="Revision">
    <w:name w:val="Revision"/>
    <w:hidden/>
    <w:uiPriority w:val="99"/>
    <w:semiHidden/>
    <w:rsid w:val="00E2776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2b@sahpra.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EABF-0656-4D30-8EE9-991655FC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23</Pages>
  <Words>7929</Words>
  <Characters>45199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Medicines Control Council</vt:lpstr>
    </vt:vector>
  </TitlesOfParts>
  <Company>Toshiba</Company>
  <LinksUpToDate>false</LinksUpToDate>
  <CharactersWithSpaces>53022</CharactersWithSpaces>
  <SharedDoc>false</SharedDoc>
  <HLinks>
    <vt:vector size="348" baseType="variant">
      <vt:variant>
        <vt:i4>1376306</vt:i4>
      </vt:variant>
      <vt:variant>
        <vt:i4>326</vt:i4>
      </vt:variant>
      <vt:variant>
        <vt:i4>0</vt:i4>
      </vt:variant>
      <vt:variant>
        <vt:i4>5</vt:i4>
      </vt:variant>
      <vt:variant>
        <vt:lpwstr/>
      </vt:variant>
      <vt:variant>
        <vt:lpwstr>_Toc466114115</vt:lpwstr>
      </vt:variant>
      <vt:variant>
        <vt:i4>1376306</vt:i4>
      </vt:variant>
      <vt:variant>
        <vt:i4>320</vt:i4>
      </vt:variant>
      <vt:variant>
        <vt:i4>0</vt:i4>
      </vt:variant>
      <vt:variant>
        <vt:i4>5</vt:i4>
      </vt:variant>
      <vt:variant>
        <vt:lpwstr/>
      </vt:variant>
      <vt:variant>
        <vt:lpwstr>_Toc466114114</vt:lpwstr>
      </vt:variant>
      <vt:variant>
        <vt:i4>1376306</vt:i4>
      </vt:variant>
      <vt:variant>
        <vt:i4>314</vt:i4>
      </vt:variant>
      <vt:variant>
        <vt:i4>0</vt:i4>
      </vt:variant>
      <vt:variant>
        <vt:i4>5</vt:i4>
      </vt:variant>
      <vt:variant>
        <vt:lpwstr/>
      </vt:variant>
      <vt:variant>
        <vt:lpwstr>_Toc466114113</vt:lpwstr>
      </vt:variant>
      <vt:variant>
        <vt:i4>1376306</vt:i4>
      </vt:variant>
      <vt:variant>
        <vt:i4>308</vt:i4>
      </vt:variant>
      <vt:variant>
        <vt:i4>0</vt:i4>
      </vt:variant>
      <vt:variant>
        <vt:i4>5</vt:i4>
      </vt:variant>
      <vt:variant>
        <vt:lpwstr/>
      </vt:variant>
      <vt:variant>
        <vt:lpwstr>_Toc466114112</vt:lpwstr>
      </vt:variant>
      <vt:variant>
        <vt:i4>1376306</vt:i4>
      </vt:variant>
      <vt:variant>
        <vt:i4>302</vt:i4>
      </vt:variant>
      <vt:variant>
        <vt:i4>0</vt:i4>
      </vt:variant>
      <vt:variant>
        <vt:i4>5</vt:i4>
      </vt:variant>
      <vt:variant>
        <vt:lpwstr/>
      </vt:variant>
      <vt:variant>
        <vt:lpwstr>_Toc466114111</vt:lpwstr>
      </vt:variant>
      <vt:variant>
        <vt:i4>1376306</vt:i4>
      </vt:variant>
      <vt:variant>
        <vt:i4>296</vt:i4>
      </vt:variant>
      <vt:variant>
        <vt:i4>0</vt:i4>
      </vt:variant>
      <vt:variant>
        <vt:i4>5</vt:i4>
      </vt:variant>
      <vt:variant>
        <vt:lpwstr/>
      </vt:variant>
      <vt:variant>
        <vt:lpwstr>_Toc466114110</vt:lpwstr>
      </vt:variant>
      <vt:variant>
        <vt:i4>1310770</vt:i4>
      </vt:variant>
      <vt:variant>
        <vt:i4>290</vt:i4>
      </vt:variant>
      <vt:variant>
        <vt:i4>0</vt:i4>
      </vt:variant>
      <vt:variant>
        <vt:i4>5</vt:i4>
      </vt:variant>
      <vt:variant>
        <vt:lpwstr/>
      </vt:variant>
      <vt:variant>
        <vt:lpwstr>_Toc466114109</vt:lpwstr>
      </vt:variant>
      <vt:variant>
        <vt:i4>1310770</vt:i4>
      </vt:variant>
      <vt:variant>
        <vt:i4>284</vt:i4>
      </vt:variant>
      <vt:variant>
        <vt:i4>0</vt:i4>
      </vt:variant>
      <vt:variant>
        <vt:i4>5</vt:i4>
      </vt:variant>
      <vt:variant>
        <vt:lpwstr/>
      </vt:variant>
      <vt:variant>
        <vt:lpwstr>_Toc466114108</vt:lpwstr>
      </vt:variant>
      <vt:variant>
        <vt:i4>1310770</vt:i4>
      </vt:variant>
      <vt:variant>
        <vt:i4>278</vt:i4>
      </vt:variant>
      <vt:variant>
        <vt:i4>0</vt:i4>
      </vt:variant>
      <vt:variant>
        <vt:i4>5</vt:i4>
      </vt:variant>
      <vt:variant>
        <vt:lpwstr/>
      </vt:variant>
      <vt:variant>
        <vt:lpwstr>_Toc466114107</vt:lpwstr>
      </vt:variant>
      <vt:variant>
        <vt:i4>1310770</vt:i4>
      </vt:variant>
      <vt:variant>
        <vt:i4>272</vt:i4>
      </vt:variant>
      <vt:variant>
        <vt:i4>0</vt:i4>
      </vt:variant>
      <vt:variant>
        <vt:i4>5</vt:i4>
      </vt:variant>
      <vt:variant>
        <vt:lpwstr/>
      </vt:variant>
      <vt:variant>
        <vt:lpwstr>_Toc466114106</vt:lpwstr>
      </vt:variant>
      <vt:variant>
        <vt:i4>1310770</vt:i4>
      </vt:variant>
      <vt:variant>
        <vt:i4>266</vt:i4>
      </vt:variant>
      <vt:variant>
        <vt:i4>0</vt:i4>
      </vt:variant>
      <vt:variant>
        <vt:i4>5</vt:i4>
      </vt:variant>
      <vt:variant>
        <vt:lpwstr/>
      </vt:variant>
      <vt:variant>
        <vt:lpwstr>_Toc466114105</vt:lpwstr>
      </vt:variant>
      <vt:variant>
        <vt:i4>1310770</vt:i4>
      </vt:variant>
      <vt:variant>
        <vt:i4>260</vt:i4>
      </vt:variant>
      <vt:variant>
        <vt:i4>0</vt:i4>
      </vt:variant>
      <vt:variant>
        <vt:i4>5</vt:i4>
      </vt:variant>
      <vt:variant>
        <vt:lpwstr/>
      </vt:variant>
      <vt:variant>
        <vt:lpwstr>_Toc466114104</vt:lpwstr>
      </vt:variant>
      <vt:variant>
        <vt:i4>1310770</vt:i4>
      </vt:variant>
      <vt:variant>
        <vt:i4>254</vt:i4>
      </vt:variant>
      <vt:variant>
        <vt:i4>0</vt:i4>
      </vt:variant>
      <vt:variant>
        <vt:i4>5</vt:i4>
      </vt:variant>
      <vt:variant>
        <vt:lpwstr/>
      </vt:variant>
      <vt:variant>
        <vt:lpwstr>_Toc466114103</vt:lpwstr>
      </vt:variant>
      <vt:variant>
        <vt:i4>1310770</vt:i4>
      </vt:variant>
      <vt:variant>
        <vt:i4>248</vt:i4>
      </vt:variant>
      <vt:variant>
        <vt:i4>0</vt:i4>
      </vt:variant>
      <vt:variant>
        <vt:i4>5</vt:i4>
      </vt:variant>
      <vt:variant>
        <vt:lpwstr/>
      </vt:variant>
      <vt:variant>
        <vt:lpwstr>_Toc466114102</vt:lpwstr>
      </vt:variant>
      <vt:variant>
        <vt:i4>1310770</vt:i4>
      </vt:variant>
      <vt:variant>
        <vt:i4>242</vt:i4>
      </vt:variant>
      <vt:variant>
        <vt:i4>0</vt:i4>
      </vt:variant>
      <vt:variant>
        <vt:i4>5</vt:i4>
      </vt:variant>
      <vt:variant>
        <vt:lpwstr/>
      </vt:variant>
      <vt:variant>
        <vt:lpwstr>_Toc466114101</vt:lpwstr>
      </vt:variant>
      <vt:variant>
        <vt:i4>1310770</vt:i4>
      </vt:variant>
      <vt:variant>
        <vt:i4>236</vt:i4>
      </vt:variant>
      <vt:variant>
        <vt:i4>0</vt:i4>
      </vt:variant>
      <vt:variant>
        <vt:i4>5</vt:i4>
      </vt:variant>
      <vt:variant>
        <vt:lpwstr/>
      </vt:variant>
      <vt:variant>
        <vt:lpwstr>_Toc466114100</vt:lpwstr>
      </vt:variant>
      <vt:variant>
        <vt:i4>1900595</vt:i4>
      </vt:variant>
      <vt:variant>
        <vt:i4>230</vt:i4>
      </vt:variant>
      <vt:variant>
        <vt:i4>0</vt:i4>
      </vt:variant>
      <vt:variant>
        <vt:i4>5</vt:i4>
      </vt:variant>
      <vt:variant>
        <vt:lpwstr/>
      </vt:variant>
      <vt:variant>
        <vt:lpwstr>_Toc466114099</vt:lpwstr>
      </vt:variant>
      <vt:variant>
        <vt:i4>1900595</vt:i4>
      </vt:variant>
      <vt:variant>
        <vt:i4>224</vt:i4>
      </vt:variant>
      <vt:variant>
        <vt:i4>0</vt:i4>
      </vt:variant>
      <vt:variant>
        <vt:i4>5</vt:i4>
      </vt:variant>
      <vt:variant>
        <vt:lpwstr/>
      </vt:variant>
      <vt:variant>
        <vt:lpwstr>_Toc466114098</vt:lpwstr>
      </vt:variant>
      <vt:variant>
        <vt:i4>1900595</vt:i4>
      </vt:variant>
      <vt:variant>
        <vt:i4>218</vt:i4>
      </vt:variant>
      <vt:variant>
        <vt:i4>0</vt:i4>
      </vt:variant>
      <vt:variant>
        <vt:i4>5</vt:i4>
      </vt:variant>
      <vt:variant>
        <vt:lpwstr/>
      </vt:variant>
      <vt:variant>
        <vt:lpwstr>_Toc466114097</vt:lpwstr>
      </vt:variant>
      <vt:variant>
        <vt:i4>1900595</vt:i4>
      </vt:variant>
      <vt:variant>
        <vt:i4>212</vt:i4>
      </vt:variant>
      <vt:variant>
        <vt:i4>0</vt:i4>
      </vt:variant>
      <vt:variant>
        <vt:i4>5</vt:i4>
      </vt:variant>
      <vt:variant>
        <vt:lpwstr/>
      </vt:variant>
      <vt:variant>
        <vt:lpwstr>_Toc466114096</vt:lpwstr>
      </vt:variant>
      <vt:variant>
        <vt:i4>1900595</vt:i4>
      </vt:variant>
      <vt:variant>
        <vt:i4>206</vt:i4>
      </vt:variant>
      <vt:variant>
        <vt:i4>0</vt:i4>
      </vt:variant>
      <vt:variant>
        <vt:i4>5</vt:i4>
      </vt:variant>
      <vt:variant>
        <vt:lpwstr/>
      </vt:variant>
      <vt:variant>
        <vt:lpwstr>_Toc466114095</vt:lpwstr>
      </vt:variant>
      <vt:variant>
        <vt:i4>1900595</vt:i4>
      </vt:variant>
      <vt:variant>
        <vt:i4>200</vt:i4>
      </vt:variant>
      <vt:variant>
        <vt:i4>0</vt:i4>
      </vt:variant>
      <vt:variant>
        <vt:i4>5</vt:i4>
      </vt:variant>
      <vt:variant>
        <vt:lpwstr/>
      </vt:variant>
      <vt:variant>
        <vt:lpwstr>_Toc466114094</vt:lpwstr>
      </vt:variant>
      <vt:variant>
        <vt:i4>1900595</vt:i4>
      </vt:variant>
      <vt:variant>
        <vt:i4>194</vt:i4>
      </vt:variant>
      <vt:variant>
        <vt:i4>0</vt:i4>
      </vt:variant>
      <vt:variant>
        <vt:i4>5</vt:i4>
      </vt:variant>
      <vt:variant>
        <vt:lpwstr/>
      </vt:variant>
      <vt:variant>
        <vt:lpwstr>_Toc466114093</vt:lpwstr>
      </vt:variant>
      <vt:variant>
        <vt:i4>1900595</vt:i4>
      </vt:variant>
      <vt:variant>
        <vt:i4>188</vt:i4>
      </vt:variant>
      <vt:variant>
        <vt:i4>0</vt:i4>
      </vt:variant>
      <vt:variant>
        <vt:i4>5</vt:i4>
      </vt:variant>
      <vt:variant>
        <vt:lpwstr/>
      </vt:variant>
      <vt:variant>
        <vt:lpwstr>_Toc466114092</vt:lpwstr>
      </vt:variant>
      <vt:variant>
        <vt:i4>1900595</vt:i4>
      </vt:variant>
      <vt:variant>
        <vt:i4>182</vt:i4>
      </vt:variant>
      <vt:variant>
        <vt:i4>0</vt:i4>
      </vt:variant>
      <vt:variant>
        <vt:i4>5</vt:i4>
      </vt:variant>
      <vt:variant>
        <vt:lpwstr/>
      </vt:variant>
      <vt:variant>
        <vt:lpwstr>_Toc466114091</vt:lpwstr>
      </vt:variant>
      <vt:variant>
        <vt:i4>1900595</vt:i4>
      </vt:variant>
      <vt:variant>
        <vt:i4>176</vt:i4>
      </vt:variant>
      <vt:variant>
        <vt:i4>0</vt:i4>
      </vt:variant>
      <vt:variant>
        <vt:i4>5</vt:i4>
      </vt:variant>
      <vt:variant>
        <vt:lpwstr/>
      </vt:variant>
      <vt:variant>
        <vt:lpwstr>_Toc466114090</vt:lpwstr>
      </vt:variant>
      <vt:variant>
        <vt:i4>1835059</vt:i4>
      </vt:variant>
      <vt:variant>
        <vt:i4>170</vt:i4>
      </vt:variant>
      <vt:variant>
        <vt:i4>0</vt:i4>
      </vt:variant>
      <vt:variant>
        <vt:i4>5</vt:i4>
      </vt:variant>
      <vt:variant>
        <vt:lpwstr/>
      </vt:variant>
      <vt:variant>
        <vt:lpwstr>_Toc466114089</vt:lpwstr>
      </vt:variant>
      <vt:variant>
        <vt:i4>1835059</vt:i4>
      </vt:variant>
      <vt:variant>
        <vt:i4>164</vt:i4>
      </vt:variant>
      <vt:variant>
        <vt:i4>0</vt:i4>
      </vt:variant>
      <vt:variant>
        <vt:i4>5</vt:i4>
      </vt:variant>
      <vt:variant>
        <vt:lpwstr/>
      </vt:variant>
      <vt:variant>
        <vt:lpwstr>_Toc466114088</vt:lpwstr>
      </vt:variant>
      <vt:variant>
        <vt:i4>1835059</vt:i4>
      </vt:variant>
      <vt:variant>
        <vt:i4>158</vt:i4>
      </vt:variant>
      <vt:variant>
        <vt:i4>0</vt:i4>
      </vt:variant>
      <vt:variant>
        <vt:i4>5</vt:i4>
      </vt:variant>
      <vt:variant>
        <vt:lpwstr/>
      </vt:variant>
      <vt:variant>
        <vt:lpwstr>_Toc466114087</vt:lpwstr>
      </vt:variant>
      <vt:variant>
        <vt:i4>1835059</vt:i4>
      </vt:variant>
      <vt:variant>
        <vt:i4>152</vt:i4>
      </vt:variant>
      <vt:variant>
        <vt:i4>0</vt:i4>
      </vt:variant>
      <vt:variant>
        <vt:i4>5</vt:i4>
      </vt:variant>
      <vt:variant>
        <vt:lpwstr/>
      </vt:variant>
      <vt:variant>
        <vt:lpwstr>_Toc466114086</vt:lpwstr>
      </vt:variant>
      <vt:variant>
        <vt:i4>1835059</vt:i4>
      </vt:variant>
      <vt:variant>
        <vt:i4>146</vt:i4>
      </vt:variant>
      <vt:variant>
        <vt:i4>0</vt:i4>
      </vt:variant>
      <vt:variant>
        <vt:i4>5</vt:i4>
      </vt:variant>
      <vt:variant>
        <vt:lpwstr/>
      </vt:variant>
      <vt:variant>
        <vt:lpwstr>_Toc466114085</vt:lpwstr>
      </vt:variant>
      <vt:variant>
        <vt:i4>1835059</vt:i4>
      </vt:variant>
      <vt:variant>
        <vt:i4>140</vt:i4>
      </vt:variant>
      <vt:variant>
        <vt:i4>0</vt:i4>
      </vt:variant>
      <vt:variant>
        <vt:i4>5</vt:i4>
      </vt:variant>
      <vt:variant>
        <vt:lpwstr/>
      </vt:variant>
      <vt:variant>
        <vt:lpwstr>_Toc466114084</vt:lpwstr>
      </vt:variant>
      <vt:variant>
        <vt:i4>1835059</vt:i4>
      </vt:variant>
      <vt:variant>
        <vt:i4>134</vt:i4>
      </vt:variant>
      <vt:variant>
        <vt:i4>0</vt:i4>
      </vt:variant>
      <vt:variant>
        <vt:i4>5</vt:i4>
      </vt:variant>
      <vt:variant>
        <vt:lpwstr/>
      </vt:variant>
      <vt:variant>
        <vt:lpwstr>_Toc466114083</vt:lpwstr>
      </vt:variant>
      <vt:variant>
        <vt:i4>1835059</vt:i4>
      </vt:variant>
      <vt:variant>
        <vt:i4>128</vt:i4>
      </vt:variant>
      <vt:variant>
        <vt:i4>0</vt:i4>
      </vt:variant>
      <vt:variant>
        <vt:i4>5</vt:i4>
      </vt:variant>
      <vt:variant>
        <vt:lpwstr/>
      </vt:variant>
      <vt:variant>
        <vt:lpwstr>_Toc466114082</vt:lpwstr>
      </vt:variant>
      <vt:variant>
        <vt:i4>1835059</vt:i4>
      </vt:variant>
      <vt:variant>
        <vt:i4>122</vt:i4>
      </vt:variant>
      <vt:variant>
        <vt:i4>0</vt:i4>
      </vt:variant>
      <vt:variant>
        <vt:i4>5</vt:i4>
      </vt:variant>
      <vt:variant>
        <vt:lpwstr/>
      </vt:variant>
      <vt:variant>
        <vt:lpwstr>_Toc466114081</vt:lpwstr>
      </vt:variant>
      <vt:variant>
        <vt:i4>1835059</vt:i4>
      </vt:variant>
      <vt:variant>
        <vt:i4>116</vt:i4>
      </vt:variant>
      <vt:variant>
        <vt:i4>0</vt:i4>
      </vt:variant>
      <vt:variant>
        <vt:i4>5</vt:i4>
      </vt:variant>
      <vt:variant>
        <vt:lpwstr/>
      </vt:variant>
      <vt:variant>
        <vt:lpwstr>_Toc466114080</vt:lpwstr>
      </vt:variant>
      <vt:variant>
        <vt:i4>1245235</vt:i4>
      </vt:variant>
      <vt:variant>
        <vt:i4>110</vt:i4>
      </vt:variant>
      <vt:variant>
        <vt:i4>0</vt:i4>
      </vt:variant>
      <vt:variant>
        <vt:i4>5</vt:i4>
      </vt:variant>
      <vt:variant>
        <vt:lpwstr/>
      </vt:variant>
      <vt:variant>
        <vt:lpwstr>_Toc466114079</vt:lpwstr>
      </vt:variant>
      <vt:variant>
        <vt:i4>1245235</vt:i4>
      </vt:variant>
      <vt:variant>
        <vt:i4>104</vt:i4>
      </vt:variant>
      <vt:variant>
        <vt:i4>0</vt:i4>
      </vt:variant>
      <vt:variant>
        <vt:i4>5</vt:i4>
      </vt:variant>
      <vt:variant>
        <vt:lpwstr/>
      </vt:variant>
      <vt:variant>
        <vt:lpwstr>_Toc466114078</vt:lpwstr>
      </vt:variant>
      <vt:variant>
        <vt:i4>1245235</vt:i4>
      </vt:variant>
      <vt:variant>
        <vt:i4>98</vt:i4>
      </vt:variant>
      <vt:variant>
        <vt:i4>0</vt:i4>
      </vt:variant>
      <vt:variant>
        <vt:i4>5</vt:i4>
      </vt:variant>
      <vt:variant>
        <vt:lpwstr/>
      </vt:variant>
      <vt:variant>
        <vt:lpwstr>_Toc466114077</vt:lpwstr>
      </vt:variant>
      <vt:variant>
        <vt:i4>1245235</vt:i4>
      </vt:variant>
      <vt:variant>
        <vt:i4>92</vt:i4>
      </vt:variant>
      <vt:variant>
        <vt:i4>0</vt:i4>
      </vt:variant>
      <vt:variant>
        <vt:i4>5</vt:i4>
      </vt:variant>
      <vt:variant>
        <vt:lpwstr/>
      </vt:variant>
      <vt:variant>
        <vt:lpwstr>_Toc466114076</vt:lpwstr>
      </vt:variant>
      <vt:variant>
        <vt:i4>1245235</vt:i4>
      </vt:variant>
      <vt:variant>
        <vt:i4>86</vt:i4>
      </vt:variant>
      <vt:variant>
        <vt:i4>0</vt:i4>
      </vt:variant>
      <vt:variant>
        <vt:i4>5</vt:i4>
      </vt:variant>
      <vt:variant>
        <vt:lpwstr/>
      </vt:variant>
      <vt:variant>
        <vt:lpwstr>_Toc466114075</vt:lpwstr>
      </vt:variant>
      <vt:variant>
        <vt:i4>1245235</vt:i4>
      </vt:variant>
      <vt:variant>
        <vt:i4>80</vt:i4>
      </vt:variant>
      <vt:variant>
        <vt:i4>0</vt:i4>
      </vt:variant>
      <vt:variant>
        <vt:i4>5</vt:i4>
      </vt:variant>
      <vt:variant>
        <vt:lpwstr/>
      </vt:variant>
      <vt:variant>
        <vt:lpwstr>_Toc466114074</vt:lpwstr>
      </vt:variant>
      <vt:variant>
        <vt:i4>1245235</vt:i4>
      </vt:variant>
      <vt:variant>
        <vt:i4>74</vt:i4>
      </vt:variant>
      <vt:variant>
        <vt:i4>0</vt:i4>
      </vt:variant>
      <vt:variant>
        <vt:i4>5</vt:i4>
      </vt:variant>
      <vt:variant>
        <vt:lpwstr/>
      </vt:variant>
      <vt:variant>
        <vt:lpwstr>_Toc466114073</vt:lpwstr>
      </vt:variant>
      <vt:variant>
        <vt:i4>1245235</vt:i4>
      </vt:variant>
      <vt:variant>
        <vt:i4>68</vt:i4>
      </vt:variant>
      <vt:variant>
        <vt:i4>0</vt:i4>
      </vt:variant>
      <vt:variant>
        <vt:i4>5</vt:i4>
      </vt:variant>
      <vt:variant>
        <vt:lpwstr/>
      </vt:variant>
      <vt:variant>
        <vt:lpwstr>_Toc466114072</vt:lpwstr>
      </vt:variant>
      <vt:variant>
        <vt:i4>1245235</vt:i4>
      </vt:variant>
      <vt:variant>
        <vt:i4>62</vt:i4>
      </vt:variant>
      <vt:variant>
        <vt:i4>0</vt:i4>
      </vt:variant>
      <vt:variant>
        <vt:i4>5</vt:i4>
      </vt:variant>
      <vt:variant>
        <vt:lpwstr/>
      </vt:variant>
      <vt:variant>
        <vt:lpwstr>_Toc466114071</vt:lpwstr>
      </vt:variant>
      <vt:variant>
        <vt:i4>1245235</vt:i4>
      </vt:variant>
      <vt:variant>
        <vt:i4>56</vt:i4>
      </vt:variant>
      <vt:variant>
        <vt:i4>0</vt:i4>
      </vt:variant>
      <vt:variant>
        <vt:i4>5</vt:i4>
      </vt:variant>
      <vt:variant>
        <vt:lpwstr/>
      </vt:variant>
      <vt:variant>
        <vt:lpwstr>_Toc466114070</vt:lpwstr>
      </vt:variant>
      <vt:variant>
        <vt:i4>1179699</vt:i4>
      </vt:variant>
      <vt:variant>
        <vt:i4>50</vt:i4>
      </vt:variant>
      <vt:variant>
        <vt:i4>0</vt:i4>
      </vt:variant>
      <vt:variant>
        <vt:i4>5</vt:i4>
      </vt:variant>
      <vt:variant>
        <vt:lpwstr/>
      </vt:variant>
      <vt:variant>
        <vt:lpwstr>_Toc466114069</vt:lpwstr>
      </vt:variant>
      <vt:variant>
        <vt:i4>1179699</vt:i4>
      </vt:variant>
      <vt:variant>
        <vt:i4>44</vt:i4>
      </vt:variant>
      <vt:variant>
        <vt:i4>0</vt:i4>
      </vt:variant>
      <vt:variant>
        <vt:i4>5</vt:i4>
      </vt:variant>
      <vt:variant>
        <vt:lpwstr/>
      </vt:variant>
      <vt:variant>
        <vt:lpwstr>_Toc466114068</vt:lpwstr>
      </vt:variant>
      <vt:variant>
        <vt:i4>1179699</vt:i4>
      </vt:variant>
      <vt:variant>
        <vt:i4>38</vt:i4>
      </vt:variant>
      <vt:variant>
        <vt:i4>0</vt:i4>
      </vt:variant>
      <vt:variant>
        <vt:i4>5</vt:i4>
      </vt:variant>
      <vt:variant>
        <vt:lpwstr/>
      </vt:variant>
      <vt:variant>
        <vt:lpwstr>_Toc466114067</vt:lpwstr>
      </vt:variant>
      <vt:variant>
        <vt:i4>1179699</vt:i4>
      </vt:variant>
      <vt:variant>
        <vt:i4>32</vt:i4>
      </vt:variant>
      <vt:variant>
        <vt:i4>0</vt:i4>
      </vt:variant>
      <vt:variant>
        <vt:i4>5</vt:i4>
      </vt:variant>
      <vt:variant>
        <vt:lpwstr/>
      </vt:variant>
      <vt:variant>
        <vt:lpwstr>_Toc466114066</vt:lpwstr>
      </vt:variant>
      <vt:variant>
        <vt:i4>1179699</vt:i4>
      </vt:variant>
      <vt:variant>
        <vt:i4>26</vt:i4>
      </vt:variant>
      <vt:variant>
        <vt:i4>0</vt:i4>
      </vt:variant>
      <vt:variant>
        <vt:i4>5</vt:i4>
      </vt:variant>
      <vt:variant>
        <vt:lpwstr/>
      </vt:variant>
      <vt:variant>
        <vt:lpwstr>_Toc466114065</vt:lpwstr>
      </vt:variant>
      <vt:variant>
        <vt:i4>1179699</vt:i4>
      </vt:variant>
      <vt:variant>
        <vt:i4>20</vt:i4>
      </vt:variant>
      <vt:variant>
        <vt:i4>0</vt:i4>
      </vt:variant>
      <vt:variant>
        <vt:i4>5</vt:i4>
      </vt:variant>
      <vt:variant>
        <vt:lpwstr/>
      </vt:variant>
      <vt:variant>
        <vt:lpwstr>_Toc466114064</vt:lpwstr>
      </vt:variant>
      <vt:variant>
        <vt:i4>1179699</vt:i4>
      </vt:variant>
      <vt:variant>
        <vt:i4>14</vt:i4>
      </vt:variant>
      <vt:variant>
        <vt:i4>0</vt:i4>
      </vt:variant>
      <vt:variant>
        <vt:i4>5</vt:i4>
      </vt:variant>
      <vt:variant>
        <vt:lpwstr/>
      </vt:variant>
      <vt:variant>
        <vt:lpwstr>_Toc466114063</vt:lpwstr>
      </vt:variant>
      <vt:variant>
        <vt:i4>1179699</vt:i4>
      </vt:variant>
      <vt:variant>
        <vt:i4>8</vt:i4>
      </vt:variant>
      <vt:variant>
        <vt:i4>0</vt:i4>
      </vt:variant>
      <vt:variant>
        <vt:i4>5</vt:i4>
      </vt:variant>
      <vt:variant>
        <vt:lpwstr/>
      </vt:variant>
      <vt:variant>
        <vt:lpwstr>_Toc466114062</vt:lpwstr>
      </vt:variant>
      <vt:variant>
        <vt:i4>1179699</vt:i4>
      </vt:variant>
      <vt:variant>
        <vt:i4>2</vt:i4>
      </vt:variant>
      <vt:variant>
        <vt:i4>0</vt:i4>
      </vt:variant>
      <vt:variant>
        <vt:i4>5</vt:i4>
      </vt:variant>
      <vt:variant>
        <vt:lpwstr/>
      </vt:variant>
      <vt:variant>
        <vt:lpwstr>_Toc466114061</vt:lpwstr>
      </vt:variant>
      <vt:variant>
        <vt:i4>7274612</vt:i4>
      </vt:variant>
      <vt:variant>
        <vt:i4>24</vt:i4>
      </vt:variant>
      <vt:variant>
        <vt:i4>0</vt:i4>
      </vt:variant>
      <vt:variant>
        <vt:i4>5</vt:i4>
      </vt:variant>
      <vt:variant>
        <vt:lpwstr/>
      </vt:variant>
      <vt:variant>
        <vt:lpwstr>ToC</vt:lpwstr>
      </vt:variant>
      <vt:variant>
        <vt:i4>7274612</vt:i4>
      </vt:variant>
      <vt:variant>
        <vt:i4>12</vt:i4>
      </vt:variant>
      <vt:variant>
        <vt:i4>0</vt:i4>
      </vt:variant>
      <vt:variant>
        <vt:i4>5</vt:i4>
      </vt:variant>
      <vt:variant>
        <vt:lpwstr/>
      </vt:variant>
      <vt:variant>
        <vt:lpwstr>ToC</vt:lpwstr>
      </vt:variant>
      <vt:variant>
        <vt:i4>7274612</vt:i4>
      </vt:variant>
      <vt:variant>
        <vt:i4>0</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Control Council</dc:title>
  <dc:creator>MCC</dc:creator>
  <cp:lastModifiedBy>Windows User</cp:lastModifiedBy>
  <cp:revision>12</cp:revision>
  <cp:lastPrinted>2018-07-18T10:03:00Z</cp:lastPrinted>
  <dcterms:created xsi:type="dcterms:W3CDTF">2019-04-23T09:43:00Z</dcterms:created>
  <dcterms:modified xsi:type="dcterms:W3CDTF">2019-05-13T12:01:00Z</dcterms:modified>
</cp:coreProperties>
</file>